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val="0"/>
        <w:spacing w:before="0" w:beforeAutospacing="0" w:after="0" w:afterAutospacing="0" w:line="600" w:lineRule="exact"/>
        <w:jc w:val="center"/>
        <w:rPr>
          <w:rStyle w:val="7"/>
          <w:rFonts w:cs="Times New Roman" w:asciiTheme="majorEastAsia" w:hAnsiTheme="majorEastAsia" w:eastAsiaTheme="majorEastAsia"/>
          <w:bCs w:val="0"/>
          <w:spacing w:val="-23"/>
          <w:sz w:val="44"/>
          <w:szCs w:val="44"/>
        </w:rPr>
      </w:pPr>
      <w:r>
        <w:rPr>
          <w:rStyle w:val="7"/>
          <w:rFonts w:hint="eastAsia" w:cs="Times New Roman" w:asciiTheme="majorEastAsia" w:hAnsiTheme="majorEastAsia" w:eastAsiaTheme="majorEastAsia"/>
          <w:bCs w:val="0"/>
          <w:spacing w:val="-23"/>
          <w:sz w:val="44"/>
          <w:szCs w:val="44"/>
        </w:rPr>
        <w:t>新晃侗族自治县民政局</w:t>
      </w:r>
      <w:r>
        <w:rPr>
          <w:rStyle w:val="7"/>
          <w:rFonts w:cs="Times New Roman" w:asciiTheme="majorEastAsia" w:hAnsiTheme="majorEastAsia" w:eastAsiaTheme="majorEastAsia"/>
          <w:bCs w:val="0"/>
          <w:spacing w:val="-23"/>
          <w:sz w:val="44"/>
          <w:szCs w:val="44"/>
        </w:rPr>
        <w:t>2022年度整体支出绩效</w:t>
      </w:r>
    </w:p>
    <w:p>
      <w:pPr>
        <w:pStyle w:val="4"/>
        <w:widowControl w:val="0"/>
        <w:spacing w:before="0" w:beforeAutospacing="0" w:after="0" w:afterAutospacing="0" w:line="600" w:lineRule="exact"/>
        <w:jc w:val="center"/>
        <w:rPr>
          <w:rStyle w:val="7"/>
          <w:rFonts w:cs="Times New Roman" w:asciiTheme="majorEastAsia" w:hAnsiTheme="majorEastAsia" w:eastAsiaTheme="majorEastAsia"/>
          <w:bCs w:val="0"/>
          <w:spacing w:val="-23"/>
          <w:sz w:val="44"/>
          <w:szCs w:val="44"/>
        </w:rPr>
      </w:pPr>
      <w:r>
        <w:rPr>
          <w:rStyle w:val="7"/>
          <w:rFonts w:cs="Times New Roman" w:asciiTheme="majorEastAsia" w:hAnsiTheme="majorEastAsia" w:eastAsiaTheme="majorEastAsia"/>
          <w:bCs w:val="0"/>
          <w:spacing w:val="-23"/>
          <w:sz w:val="44"/>
          <w:szCs w:val="44"/>
        </w:rPr>
        <w:t>自</w:t>
      </w:r>
      <w:r>
        <w:rPr>
          <w:rStyle w:val="7"/>
          <w:rFonts w:hint="eastAsia" w:cs="Times New Roman" w:asciiTheme="majorEastAsia" w:hAnsiTheme="majorEastAsia" w:eastAsiaTheme="majorEastAsia"/>
          <w:bCs w:val="0"/>
          <w:spacing w:val="-23"/>
          <w:sz w:val="44"/>
          <w:szCs w:val="44"/>
        </w:rPr>
        <w:t xml:space="preserve"> </w:t>
      </w:r>
      <w:r>
        <w:rPr>
          <w:rStyle w:val="7"/>
          <w:rFonts w:cs="Times New Roman" w:asciiTheme="majorEastAsia" w:hAnsiTheme="majorEastAsia" w:eastAsiaTheme="majorEastAsia"/>
          <w:bCs w:val="0"/>
          <w:spacing w:val="-23"/>
          <w:sz w:val="44"/>
          <w:szCs w:val="44"/>
        </w:rPr>
        <w:t>评</w:t>
      </w:r>
      <w:r>
        <w:rPr>
          <w:rStyle w:val="7"/>
          <w:rFonts w:hint="eastAsia" w:cs="Times New Roman" w:asciiTheme="majorEastAsia" w:hAnsiTheme="majorEastAsia" w:eastAsiaTheme="majorEastAsia"/>
          <w:bCs w:val="0"/>
          <w:spacing w:val="-23"/>
          <w:sz w:val="44"/>
          <w:szCs w:val="44"/>
        </w:rPr>
        <w:t xml:space="preserve"> </w:t>
      </w:r>
      <w:r>
        <w:rPr>
          <w:rStyle w:val="7"/>
          <w:rFonts w:cs="Times New Roman" w:asciiTheme="majorEastAsia" w:hAnsiTheme="majorEastAsia" w:eastAsiaTheme="majorEastAsia"/>
          <w:bCs w:val="0"/>
          <w:spacing w:val="-23"/>
          <w:sz w:val="44"/>
          <w:szCs w:val="44"/>
        </w:rPr>
        <w:t>报</w:t>
      </w:r>
      <w:r>
        <w:rPr>
          <w:rStyle w:val="7"/>
          <w:rFonts w:hint="eastAsia" w:cs="Times New Roman" w:asciiTheme="majorEastAsia" w:hAnsiTheme="majorEastAsia" w:eastAsiaTheme="majorEastAsia"/>
          <w:bCs w:val="0"/>
          <w:spacing w:val="-23"/>
          <w:sz w:val="44"/>
          <w:szCs w:val="44"/>
        </w:rPr>
        <w:t xml:space="preserve"> </w:t>
      </w:r>
      <w:r>
        <w:rPr>
          <w:rStyle w:val="7"/>
          <w:rFonts w:cs="Times New Roman" w:asciiTheme="majorEastAsia" w:hAnsiTheme="majorEastAsia" w:eastAsiaTheme="majorEastAsia"/>
          <w:bCs w:val="0"/>
          <w:spacing w:val="-23"/>
          <w:sz w:val="44"/>
          <w:szCs w:val="44"/>
        </w:rPr>
        <w:t>告</w:t>
      </w:r>
    </w:p>
    <w:p>
      <w:pPr>
        <w:spacing w:line="600" w:lineRule="exact"/>
        <w:ind w:firstLine="640" w:firstLineChars="200"/>
        <w:jc w:val="left"/>
        <w:rPr>
          <w:rFonts w:ascii="仿宋" w:hAnsi="仿宋" w:eastAsia="仿宋"/>
          <w:sz w:val="32"/>
          <w:szCs w:val="32"/>
        </w:rPr>
      </w:pPr>
    </w:p>
    <w:p>
      <w:pPr>
        <w:spacing w:line="600" w:lineRule="exact"/>
        <w:ind w:firstLine="960" w:firstLineChars="300"/>
        <w:jc w:val="left"/>
        <w:rPr>
          <w:rFonts w:ascii="黑体" w:hAnsi="黑体" w:eastAsia="黑体"/>
          <w:sz w:val="32"/>
          <w:szCs w:val="32"/>
        </w:rPr>
      </w:pPr>
      <w:r>
        <w:rPr>
          <w:rFonts w:ascii="黑体" w:hAnsi="黑体" w:eastAsia="黑体"/>
          <w:sz w:val="32"/>
          <w:szCs w:val="32"/>
        </w:rPr>
        <w:t>一、单位基本概况</w:t>
      </w:r>
    </w:p>
    <w:p>
      <w:pPr>
        <w:shd w:val="clear" w:color="auto" w:fill="FFFFFF"/>
        <w:spacing w:line="600" w:lineRule="exact"/>
        <w:ind w:firstLine="643" w:firstLineChars="200"/>
        <w:jc w:val="left"/>
        <w:textAlignment w:val="auto"/>
        <w:rPr>
          <w:rFonts w:ascii="仿宋" w:hAnsi="仿宋" w:eastAsia="仿宋" w:cs="宋体"/>
          <w:sz w:val="32"/>
          <w:szCs w:val="32"/>
        </w:rPr>
      </w:pPr>
      <w:r>
        <w:rPr>
          <w:rFonts w:ascii="仿宋" w:hAnsi="仿宋" w:eastAsia="仿宋" w:cs="宋体"/>
          <w:b/>
          <w:bCs/>
          <w:sz w:val="32"/>
          <w:szCs w:val="32"/>
        </w:rPr>
        <w:t>（一）机构设置情况</w:t>
      </w:r>
    </w:p>
    <w:p>
      <w:pPr>
        <w:shd w:val="clear" w:color="auto" w:fill="FFFFFF"/>
        <w:spacing w:line="600" w:lineRule="exact"/>
        <w:ind w:left="300" w:firstLine="640" w:firstLineChars="200"/>
        <w:jc w:val="left"/>
        <w:textAlignment w:val="auto"/>
        <w:rPr>
          <w:rFonts w:ascii="仿宋" w:hAnsi="仿宋" w:eastAsia="仿宋" w:cs="宋体"/>
          <w:sz w:val="32"/>
          <w:szCs w:val="32"/>
        </w:rPr>
      </w:pPr>
      <w:r>
        <w:rPr>
          <w:rFonts w:ascii="仿宋" w:hAnsi="仿宋" w:eastAsia="仿宋" w:cs="宋体"/>
          <w:sz w:val="32"/>
          <w:szCs w:val="32"/>
        </w:rPr>
        <w:t>单位内设机构</w:t>
      </w:r>
      <w:r>
        <w:rPr>
          <w:rFonts w:hint="eastAsia" w:ascii="仿宋" w:hAnsi="仿宋" w:eastAsia="仿宋" w:cs="宋体"/>
          <w:sz w:val="32"/>
          <w:szCs w:val="32"/>
        </w:rPr>
        <w:t>8</w:t>
      </w:r>
      <w:r>
        <w:rPr>
          <w:rFonts w:ascii="仿宋" w:hAnsi="仿宋" w:eastAsia="仿宋" w:cs="宋体"/>
          <w:sz w:val="32"/>
          <w:szCs w:val="32"/>
        </w:rPr>
        <w:t>个：办公室</w:t>
      </w:r>
      <w:r>
        <w:rPr>
          <w:rFonts w:hint="eastAsia" w:ascii="仿宋" w:hAnsi="仿宋" w:eastAsia="仿宋" w:cs="宋体"/>
          <w:sz w:val="32"/>
          <w:szCs w:val="32"/>
        </w:rPr>
        <w:t>（人事股）</w:t>
      </w:r>
      <w:r>
        <w:rPr>
          <w:rFonts w:ascii="仿宋" w:hAnsi="仿宋" w:eastAsia="仿宋" w:cs="宋体"/>
          <w:sz w:val="32"/>
          <w:szCs w:val="32"/>
        </w:rPr>
        <w:t>、规划财务股、</w:t>
      </w:r>
      <w:r>
        <w:rPr>
          <w:rFonts w:hint="eastAsia" w:ascii="仿宋" w:hAnsi="仿宋" w:eastAsia="仿宋" w:cs="宋体"/>
          <w:sz w:val="32"/>
          <w:szCs w:val="32"/>
        </w:rPr>
        <w:t>社会组织管理和法制股</w:t>
      </w:r>
      <w:r>
        <w:rPr>
          <w:rFonts w:ascii="仿宋" w:hAnsi="仿宋" w:eastAsia="仿宋" w:cs="宋体"/>
          <w:sz w:val="32"/>
          <w:szCs w:val="32"/>
        </w:rPr>
        <w:t>（</w:t>
      </w:r>
      <w:r>
        <w:rPr>
          <w:rFonts w:hint="eastAsia" w:ascii="仿宋" w:hAnsi="仿宋" w:eastAsia="仿宋" w:cs="宋体"/>
          <w:sz w:val="32"/>
          <w:szCs w:val="32"/>
        </w:rPr>
        <w:t>行政审批服务股</w:t>
      </w:r>
      <w:r>
        <w:rPr>
          <w:rFonts w:ascii="仿宋" w:hAnsi="仿宋" w:eastAsia="仿宋" w:cs="宋体"/>
          <w:sz w:val="32"/>
          <w:szCs w:val="32"/>
        </w:rPr>
        <w:t>）、基政社区和区划地名股、社会事务股、养老服务</w:t>
      </w:r>
      <w:r>
        <w:rPr>
          <w:rFonts w:hint="eastAsia" w:ascii="仿宋" w:hAnsi="仿宋" w:eastAsia="仿宋" w:cs="宋体"/>
          <w:sz w:val="32"/>
          <w:szCs w:val="32"/>
        </w:rPr>
        <w:t>和</w:t>
      </w:r>
      <w:r>
        <w:rPr>
          <w:rFonts w:ascii="仿宋" w:hAnsi="仿宋" w:eastAsia="仿宋" w:cs="宋体"/>
          <w:sz w:val="32"/>
          <w:szCs w:val="32"/>
        </w:rPr>
        <w:t>儿童福利股、社会救助股、慈善事业促进和社会工作股</w:t>
      </w:r>
      <w:r>
        <w:rPr>
          <w:rFonts w:hint="eastAsia" w:ascii="仿宋" w:hAnsi="仿宋" w:eastAsia="仿宋" w:cs="宋体"/>
          <w:sz w:val="32"/>
          <w:szCs w:val="32"/>
        </w:rPr>
        <w:t>。</w:t>
      </w:r>
      <w:r>
        <w:rPr>
          <w:rFonts w:ascii="仿宋" w:hAnsi="仿宋" w:eastAsia="仿宋" w:cs="宋体"/>
          <w:sz w:val="32"/>
          <w:szCs w:val="32"/>
        </w:rPr>
        <w:t>所属事业单位</w:t>
      </w:r>
      <w:r>
        <w:rPr>
          <w:rFonts w:hint="eastAsia" w:ascii="仿宋" w:hAnsi="仿宋" w:eastAsia="仿宋" w:cs="宋体"/>
          <w:sz w:val="32"/>
          <w:szCs w:val="32"/>
        </w:rPr>
        <w:t>7</w:t>
      </w:r>
      <w:r>
        <w:rPr>
          <w:rFonts w:ascii="仿宋" w:hAnsi="仿宋" w:eastAsia="仿宋" w:cs="宋体"/>
          <w:sz w:val="32"/>
          <w:szCs w:val="32"/>
        </w:rPr>
        <w:t>个：</w:t>
      </w:r>
      <w:r>
        <w:rPr>
          <w:rFonts w:hint="eastAsia" w:ascii="仿宋" w:hAnsi="仿宋" w:eastAsia="仿宋" w:cs="宋体"/>
          <w:sz w:val="32"/>
          <w:szCs w:val="32"/>
        </w:rPr>
        <w:t>新晃</w:t>
      </w:r>
      <w:r>
        <w:rPr>
          <w:rFonts w:ascii="仿宋" w:hAnsi="仿宋" w:eastAsia="仿宋" w:cs="宋体"/>
          <w:sz w:val="32"/>
          <w:szCs w:val="32"/>
        </w:rPr>
        <w:t>县慈善会办公室、新晃县</w:t>
      </w:r>
      <w:r>
        <w:rPr>
          <w:rFonts w:hint="eastAsia" w:ascii="仿宋" w:hAnsi="仿宋" w:eastAsia="仿宋" w:cs="宋体"/>
          <w:sz w:val="32"/>
          <w:szCs w:val="32"/>
        </w:rPr>
        <w:t>居民家庭经济状况核对中心</w:t>
      </w:r>
      <w:r>
        <w:rPr>
          <w:rFonts w:ascii="仿宋" w:hAnsi="仿宋" w:eastAsia="仿宋" w:cs="宋体"/>
          <w:sz w:val="32"/>
          <w:szCs w:val="32"/>
        </w:rPr>
        <w:t>、新晃县</w:t>
      </w:r>
      <w:r>
        <w:rPr>
          <w:rFonts w:hint="eastAsia" w:ascii="仿宋" w:hAnsi="仿宋" w:eastAsia="仿宋" w:cs="宋体"/>
          <w:sz w:val="32"/>
          <w:szCs w:val="32"/>
        </w:rPr>
        <w:t>福利院（中心敬老院）</w:t>
      </w:r>
      <w:r>
        <w:rPr>
          <w:rFonts w:ascii="仿宋" w:hAnsi="仿宋" w:eastAsia="仿宋" w:cs="宋体"/>
          <w:sz w:val="32"/>
          <w:szCs w:val="32"/>
        </w:rPr>
        <w:t>、新晃县流浪乞讨人员救助管理站、新晃县婚姻登记服务中心、新晃县革命</w:t>
      </w:r>
      <w:r>
        <w:rPr>
          <w:rFonts w:hint="eastAsia" w:ascii="仿宋" w:hAnsi="仿宋" w:eastAsia="仿宋" w:cs="宋体"/>
          <w:sz w:val="32"/>
          <w:szCs w:val="32"/>
        </w:rPr>
        <w:t>老根据地</w:t>
      </w:r>
      <w:r>
        <w:rPr>
          <w:rFonts w:hint="eastAsia" w:ascii="仿宋" w:hAnsi="仿宋" w:eastAsia="仿宋" w:cs="宋体"/>
          <w:sz w:val="32"/>
          <w:szCs w:val="32"/>
          <w:lang w:eastAsia="zh-CN"/>
        </w:rPr>
        <w:t>管理</w:t>
      </w:r>
      <w:r>
        <w:rPr>
          <w:rFonts w:hint="eastAsia" w:ascii="仿宋" w:hAnsi="仿宋" w:eastAsia="仿宋" w:cs="宋体"/>
          <w:sz w:val="32"/>
          <w:szCs w:val="32"/>
        </w:rPr>
        <w:t>办公室、新晃县殡葬管理所</w:t>
      </w:r>
      <w:r>
        <w:rPr>
          <w:rFonts w:ascii="仿宋" w:hAnsi="仿宋" w:eastAsia="仿宋" w:cs="宋体"/>
          <w:sz w:val="32"/>
          <w:szCs w:val="32"/>
        </w:rPr>
        <w:t>。</w:t>
      </w:r>
    </w:p>
    <w:p>
      <w:pPr>
        <w:shd w:val="clear" w:color="auto" w:fill="FFFFFF"/>
        <w:spacing w:line="600" w:lineRule="exact"/>
        <w:ind w:left="300" w:firstLine="643" w:firstLineChars="200"/>
        <w:jc w:val="left"/>
        <w:textAlignment w:val="auto"/>
        <w:rPr>
          <w:rFonts w:ascii="仿宋" w:hAnsi="仿宋" w:eastAsia="仿宋" w:cs="宋体"/>
          <w:sz w:val="32"/>
          <w:szCs w:val="32"/>
        </w:rPr>
      </w:pPr>
      <w:r>
        <w:rPr>
          <w:rFonts w:ascii="仿宋" w:hAnsi="仿宋" w:eastAsia="仿宋" w:cs="宋体"/>
          <w:b/>
          <w:bCs/>
          <w:sz w:val="32"/>
          <w:szCs w:val="32"/>
        </w:rPr>
        <w:t>（二）人员编制情况</w:t>
      </w:r>
    </w:p>
    <w:p>
      <w:pPr>
        <w:shd w:val="clear" w:color="auto" w:fill="FFFFFF"/>
        <w:spacing w:line="600" w:lineRule="exact"/>
        <w:ind w:left="300"/>
        <w:jc w:val="left"/>
        <w:textAlignment w:val="auto"/>
        <w:rPr>
          <w:rFonts w:ascii="仿宋" w:hAnsi="仿宋" w:eastAsia="仿宋" w:cs="宋体"/>
          <w:sz w:val="32"/>
          <w:szCs w:val="32"/>
        </w:rPr>
      </w:pPr>
      <w:r>
        <w:rPr>
          <w:rFonts w:ascii="微软雅黑" w:hAnsi="微软雅黑" w:eastAsia="仿宋" w:cs="宋体"/>
          <w:sz w:val="32"/>
          <w:szCs w:val="32"/>
        </w:rPr>
        <w:t> </w:t>
      </w:r>
      <w:r>
        <w:rPr>
          <w:rFonts w:hint="eastAsia" w:ascii="仿宋" w:hAnsi="仿宋" w:eastAsia="仿宋" w:cs="宋体"/>
          <w:sz w:val="32"/>
          <w:szCs w:val="32"/>
        </w:rPr>
        <w:t xml:space="preserve">    </w:t>
      </w:r>
      <w:r>
        <w:rPr>
          <w:rFonts w:ascii="仿宋" w:hAnsi="仿宋" w:eastAsia="仿宋" w:cs="宋体"/>
          <w:sz w:val="32"/>
          <w:szCs w:val="32"/>
        </w:rPr>
        <w:t>共有人员编制</w:t>
      </w:r>
      <w:r>
        <w:rPr>
          <w:rFonts w:hint="eastAsia" w:ascii="仿宋" w:hAnsi="仿宋" w:eastAsia="仿宋" w:cs="宋体"/>
          <w:sz w:val="32"/>
          <w:szCs w:val="32"/>
        </w:rPr>
        <w:t>46名</w:t>
      </w:r>
      <w:r>
        <w:rPr>
          <w:rFonts w:ascii="仿宋" w:hAnsi="仿宋" w:eastAsia="仿宋" w:cs="宋体"/>
          <w:sz w:val="32"/>
          <w:szCs w:val="32"/>
        </w:rPr>
        <w:t>，其中行政编制</w:t>
      </w:r>
      <w:r>
        <w:rPr>
          <w:rFonts w:hint="eastAsia" w:ascii="仿宋" w:hAnsi="仿宋" w:eastAsia="仿宋" w:cs="宋体"/>
          <w:sz w:val="32"/>
          <w:szCs w:val="32"/>
        </w:rPr>
        <w:t>10名</w:t>
      </w:r>
      <w:r>
        <w:rPr>
          <w:rFonts w:ascii="仿宋" w:hAnsi="仿宋" w:eastAsia="仿宋" w:cs="宋体"/>
          <w:sz w:val="32"/>
          <w:szCs w:val="32"/>
        </w:rPr>
        <w:t>，事业编制</w:t>
      </w:r>
      <w:r>
        <w:rPr>
          <w:rFonts w:hint="eastAsia" w:ascii="仿宋" w:hAnsi="仿宋" w:eastAsia="仿宋" w:cs="宋体"/>
          <w:sz w:val="32"/>
          <w:szCs w:val="32"/>
        </w:rPr>
        <w:t>36名</w:t>
      </w:r>
      <w:r>
        <w:rPr>
          <w:rFonts w:ascii="仿宋" w:hAnsi="仿宋" w:eastAsia="仿宋" w:cs="宋体"/>
          <w:sz w:val="32"/>
          <w:szCs w:val="32"/>
        </w:rPr>
        <w:t>，实有在职人员</w:t>
      </w:r>
      <w:r>
        <w:rPr>
          <w:rFonts w:hint="eastAsia" w:ascii="仿宋" w:hAnsi="仿宋" w:eastAsia="仿宋" w:cs="宋体"/>
          <w:sz w:val="32"/>
          <w:szCs w:val="32"/>
        </w:rPr>
        <w:t>45</w:t>
      </w:r>
      <w:r>
        <w:rPr>
          <w:rFonts w:ascii="仿宋" w:hAnsi="仿宋" w:eastAsia="仿宋" w:cs="宋体"/>
          <w:sz w:val="32"/>
          <w:szCs w:val="32"/>
        </w:rPr>
        <w:t>人。</w:t>
      </w:r>
    </w:p>
    <w:p>
      <w:pPr>
        <w:shd w:val="clear" w:color="auto" w:fill="FFFFFF"/>
        <w:spacing w:line="600" w:lineRule="exact"/>
        <w:ind w:left="300" w:firstLine="643" w:firstLineChars="200"/>
        <w:jc w:val="left"/>
        <w:textAlignment w:val="auto"/>
        <w:rPr>
          <w:rFonts w:ascii="仿宋" w:hAnsi="仿宋" w:eastAsia="仿宋" w:cs="宋体"/>
          <w:sz w:val="32"/>
          <w:szCs w:val="32"/>
        </w:rPr>
      </w:pPr>
      <w:r>
        <w:rPr>
          <w:rFonts w:ascii="仿宋" w:hAnsi="仿宋" w:eastAsia="仿宋" w:cs="宋体"/>
          <w:b/>
          <w:bCs/>
          <w:sz w:val="32"/>
          <w:szCs w:val="32"/>
        </w:rPr>
        <w:t>（三）主要职能职责</w:t>
      </w:r>
    </w:p>
    <w:p>
      <w:pPr>
        <w:shd w:val="clear" w:color="auto" w:fill="FFFFFF"/>
        <w:spacing w:line="600" w:lineRule="exact"/>
        <w:ind w:left="300" w:firstLine="640"/>
        <w:jc w:val="left"/>
        <w:textAlignment w:val="auto"/>
        <w:rPr>
          <w:rFonts w:ascii="仿宋" w:hAnsi="仿宋" w:eastAsia="仿宋" w:cs="宋体"/>
          <w:sz w:val="32"/>
          <w:szCs w:val="32"/>
        </w:rPr>
      </w:pPr>
      <w:r>
        <w:rPr>
          <w:rFonts w:ascii="仿宋" w:hAnsi="仿宋" w:eastAsia="仿宋" w:cs="宋体"/>
          <w:sz w:val="32"/>
          <w:szCs w:val="32"/>
        </w:rPr>
        <w:t>我单位是县政府工作部门，主要负责民间组织管理、社会救助、基层政权和社区建设、地名区划、婚姻登记、殡葬管理、养老服务、</w:t>
      </w:r>
      <w:r>
        <w:rPr>
          <w:rFonts w:hint="eastAsia" w:ascii="仿宋" w:hAnsi="仿宋" w:eastAsia="仿宋" w:cs="宋体"/>
          <w:sz w:val="32"/>
          <w:szCs w:val="32"/>
        </w:rPr>
        <w:t>儿童</w:t>
      </w:r>
      <w:r>
        <w:rPr>
          <w:rFonts w:ascii="仿宋" w:hAnsi="仿宋" w:eastAsia="仿宋" w:cs="宋体"/>
          <w:sz w:val="32"/>
          <w:szCs w:val="32"/>
        </w:rPr>
        <w:t>福利、慈善事业、福利彩票管理等10多项工作。</w:t>
      </w:r>
    </w:p>
    <w:p>
      <w:pPr>
        <w:shd w:val="clear" w:color="auto" w:fill="FFFFFF"/>
        <w:spacing w:line="600" w:lineRule="exact"/>
        <w:ind w:left="300" w:firstLine="640"/>
        <w:jc w:val="left"/>
        <w:textAlignment w:val="auto"/>
        <w:rPr>
          <w:rFonts w:ascii="仿宋" w:hAnsi="仿宋" w:eastAsia="仿宋" w:cs="宋体"/>
          <w:sz w:val="32"/>
          <w:szCs w:val="32"/>
        </w:rPr>
      </w:pPr>
      <w:r>
        <w:rPr>
          <w:rFonts w:ascii="仿宋" w:hAnsi="仿宋" w:eastAsia="仿宋" w:cs="宋体"/>
          <w:b/>
          <w:bCs/>
          <w:sz w:val="32"/>
          <w:szCs w:val="32"/>
        </w:rPr>
        <w:t>（四）绩效目标设定情况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ascii="仿宋" w:hAnsi="仿宋" w:eastAsia="仿宋" w:cs="宋体"/>
          <w:sz w:val="32"/>
          <w:szCs w:val="32"/>
        </w:rPr>
        <w:t>2022年初设定的绩效目标：基本支出不突破预算、</w:t>
      </w:r>
      <w:r>
        <w:rPr>
          <w:rFonts w:hint="eastAsia" w:ascii="仿宋" w:hAnsi="仿宋" w:eastAsia="仿宋" w:cs="宋体"/>
          <w:sz w:val="32"/>
          <w:szCs w:val="32"/>
        </w:rPr>
        <w:t>低保金</w:t>
      </w:r>
      <w:r>
        <w:rPr>
          <w:rFonts w:ascii="仿宋" w:hAnsi="仿宋" w:eastAsia="仿宋" w:cs="宋体"/>
          <w:sz w:val="32"/>
          <w:szCs w:val="32"/>
        </w:rPr>
        <w:t>精准发放、</w:t>
      </w:r>
      <w:r>
        <w:rPr>
          <w:rFonts w:hint="eastAsia" w:ascii="仿宋" w:hAnsi="仿宋" w:eastAsia="仿宋" w:cs="宋体"/>
          <w:sz w:val="32"/>
          <w:szCs w:val="32"/>
        </w:rPr>
        <w:t>特困供养金精准发放、残疾人生活补贴和护理补贴精准发放、孤儿和事实无人抚养儿童生活补贴精准发放、</w:t>
      </w:r>
      <w:r>
        <w:rPr>
          <w:rFonts w:ascii="仿宋" w:hAnsi="仿宋" w:eastAsia="仿宋" w:cs="宋体"/>
          <w:sz w:val="32"/>
          <w:szCs w:val="32"/>
        </w:rPr>
        <w:t>孤儿助学金精准发放、社会组织精准登记、婚姻登记率百分百完成、高龄老人</w:t>
      </w:r>
      <w:r>
        <w:rPr>
          <w:rFonts w:hint="eastAsia" w:ascii="仿宋" w:hAnsi="仿宋" w:eastAsia="仿宋" w:cs="宋体"/>
          <w:sz w:val="32"/>
          <w:szCs w:val="32"/>
        </w:rPr>
        <w:t>津贴</w:t>
      </w:r>
      <w:r>
        <w:rPr>
          <w:rFonts w:ascii="仿宋" w:hAnsi="仿宋" w:eastAsia="仿宋" w:cs="宋体"/>
          <w:sz w:val="32"/>
          <w:szCs w:val="32"/>
        </w:rPr>
        <w:t>精准发放。</w:t>
      </w:r>
    </w:p>
    <w:p>
      <w:pPr>
        <w:shd w:val="clear" w:color="auto" w:fill="FFFFFF"/>
        <w:spacing w:line="600" w:lineRule="exact"/>
        <w:ind w:firstLine="640" w:firstLineChars="200"/>
        <w:jc w:val="left"/>
        <w:textAlignment w:val="auto"/>
        <w:rPr>
          <w:rFonts w:ascii="黑体" w:hAnsi="黑体" w:eastAsia="黑体" w:cs="宋体"/>
          <w:sz w:val="32"/>
          <w:szCs w:val="32"/>
        </w:rPr>
      </w:pPr>
      <w:r>
        <w:rPr>
          <w:rFonts w:ascii="黑体" w:hAnsi="黑体" w:eastAsia="黑体" w:cs="宋体"/>
          <w:sz w:val="32"/>
          <w:szCs w:val="32"/>
        </w:rPr>
        <w:t>二、一般公共预算支出情况</w:t>
      </w:r>
    </w:p>
    <w:p>
      <w:pPr>
        <w:shd w:val="clear" w:color="auto" w:fill="FFFFFF"/>
        <w:spacing w:line="600" w:lineRule="exact"/>
        <w:ind w:firstLine="643" w:firstLineChars="200"/>
        <w:jc w:val="left"/>
        <w:textAlignment w:val="auto"/>
        <w:rPr>
          <w:rFonts w:ascii="仿宋" w:hAnsi="仿宋" w:eastAsia="仿宋" w:cs="宋体"/>
          <w:sz w:val="32"/>
          <w:szCs w:val="32"/>
        </w:rPr>
      </w:pPr>
      <w:r>
        <w:rPr>
          <w:rFonts w:ascii="仿宋" w:hAnsi="仿宋" w:eastAsia="仿宋" w:cs="宋体"/>
          <w:b/>
          <w:bCs/>
          <w:sz w:val="32"/>
          <w:szCs w:val="32"/>
        </w:rPr>
        <w:t>（一）经批复的预、决算情况</w:t>
      </w:r>
    </w:p>
    <w:p>
      <w:pPr>
        <w:shd w:val="clear" w:color="auto" w:fill="FFFFFF"/>
        <w:spacing w:line="600" w:lineRule="exact"/>
        <w:ind w:firstLine="640" w:firstLineChars="200"/>
        <w:textAlignment w:val="auto"/>
        <w:rPr>
          <w:rFonts w:ascii="仿宋" w:hAnsi="仿宋" w:eastAsia="仿宋" w:cs="宋体"/>
          <w:sz w:val="32"/>
          <w:szCs w:val="32"/>
        </w:rPr>
      </w:pPr>
      <w:r>
        <w:rPr>
          <w:rFonts w:ascii="仿宋" w:hAnsi="仿宋" w:eastAsia="仿宋" w:cs="宋体"/>
          <w:sz w:val="32"/>
          <w:szCs w:val="32"/>
        </w:rPr>
        <w:t>本年年初预算</w:t>
      </w:r>
      <w:r>
        <w:rPr>
          <w:rFonts w:hint="eastAsia" w:ascii="仿宋" w:hAnsi="仿宋" w:eastAsia="仿宋" w:cs="宋体"/>
          <w:sz w:val="32"/>
          <w:szCs w:val="32"/>
        </w:rPr>
        <w:t>7404.63</w:t>
      </w:r>
      <w:r>
        <w:rPr>
          <w:rFonts w:ascii="仿宋" w:hAnsi="仿宋" w:eastAsia="仿宋" w:cs="宋体"/>
          <w:sz w:val="32"/>
          <w:szCs w:val="32"/>
        </w:rPr>
        <w:t>万元</w:t>
      </w:r>
      <w:r>
        <w:rPr>
          <w:rFonts w:hint="eastAsia" w:ascii="仿宋" w:hAnsi="仿宋" w:eastAsia="仿宋" w:cs="宋体"/>
          <w:sz w:val="32"/>
          <w:szCs w:val="32"/>
        </w:rPr>
        <w:t>。</w:t>
      </w:r>
      <w:r>
        <w:rPr>
          <w:rFonts w:ascii="仿宋" w:hAnsi="仿宋" w:eastAsia="仿宋" w:cs="宋体"/>
          <w:sz w:val="32"/>
          <w:szCs w:val="32"/>
        </w:rPr>
        <w:t>其中社会保障和就业支出</w:t>
      </w:r>
      <w:r>
        <w:rPr>
          <w:rFonts w:hint="eastAsia" w:ascii="仿宋" w:hAnsi="仿宋" w:eastAsia="仿宋" w:cs="宋体"/>
          <w:sz w:val="32"/>
          <w:szCs w:val="32"/>
        </w:rPr>
        <w:t>7244.46万元，卫生健康支出27.93万元，住房保障支出38.4万元，一般公共服务支出35.84万元，其他支出（福彩公益金）58万元。</w:t>
      </w:r>
    </w:p>
    <w:p>
      <w:pPr>
        <w:shd w:val="clear" w:color="auto" w:fill="FFFFFF"/>
        <w:spacing w:line="600" w:lineRule="exact"/>
        <w:ind w:firstLine="640" w:firstLineChars="200"/>
        <w:textAlignment w:val="auto"/>
        <w:rPr>
          <w:rFonts w:ascii="仿宋" w:hAnsi="仿宋" w:eastAsia="仿宋" w:cs="宋体"/>
          <w:sz w:val="32"/>
          <w:szCs w:val="32"/>
        </w:rPr>
      </w:pPr>
      <w:r>
        <w:rPr>
          <w:rFonts w:hint="eastAsia" w:ascii="仿宋" w:hAnsi="仿宋" w:eastAsia="仿宋" w:cs="宋体"/>
          <w:sz w:val="32"/>
          <w:szCs w:val="32"/>
        </w:rPr>
        <w:t>本年决算9029.13</w:t>
      </w:r>
      <w:r>
        <w:rPr>
          <w:rFonts w:ascii="仿宋" w:hAnsi="仿宋" w:eastAsia="仿宋" w:cs="宋体"/>
          <w:sz w:val="32"/>
          <w:szCs w:val="32"/>
        </w:rPr>
        <w:t>万元。</w:t>
      </w:r>
      <w:r>
        <w:rPr>
          <w:rFonts w:hint="eastAsia" w:ascii="仿宋" w:hAnsi="仿宋" w:eastAsia="仿宋" w:cs="宋体"/>
          <w:sz w:val="32"/>
          <w:szCs w:val="32"/>
        </w:rPr>
        <w:t>其中</w:t>
      </w:r>
      <w:r>
        <w:rPr>
          <w:rFonts w:ascii="仿宋" w:hAnsi="仿宋" w:eastAsia="仿宋" w:cs="宋体"/>
          <w:sz w:val="32"/>
          <w:szCs w:val="32"/>
        </w:rPr>
        <w:t>社会保障和就业支出</w:t>
      </w:r>
      <w:r>
        <w:rPr>
          <w:rFonts w:hint="eastAsia" w:ascii="仿宋" w:hAnsi="仿宋" w:eastAsia="仿宋" w:cs="宋体"/>
          <w:sz w:val="32"/>
          <w:szCs w:val="32"/>
        </w:rPr>
        <w:t>8584.35</w:t>
      </w:r>
      <w:r>
        <w:rPr>
          <w:rFonts w:ascii="仿宋" w:hAnsi="仿宋" w:eastAsia="仿宋" w:cs="宋体"/>
          <w:sz w:val="32"/>
          <w:szCs w:val="32"/>
        </w:rPr>
        <w:t>万元，占比</w:t>
      </w:r>
      <w:r>
        <w:rPr>
          <w:rFonts w:hint="eastAsia" w:ascii="仿宋" w:hAnsi="仿宋" w:eastAsia="仿宋" w:cs="宋体"/>
          <w:sz w:val="32"/>
          <w:szCs w:val="32"/>
        </w:rPr>
        <w:t>95</w:t>
      </w:r>
      <w:r>
        <w:rPr>
          <w:rFonts w:ascii="仿宋" w:hAnsi="仿宋" w:eastAsia="仿宋" w:cs="宋体"/>
          <w:sz w:val="32"/>
          <w:szCs w:val="32"/>
        </w:rPr>
        <w:t>.</w:t>
      </w:r>
      <w:r>
        <w:rPr>
          <w:rFonts w:hint="eastAsia" w:ascii="仿宋" w:hAnsi="仿宋" w:eastAsia="仿宋" w:cs="宋体"/>
          <w:sz w:val="32"/>
          <w:szCs w:val="32"/>
        </w:rPr>
        <w:t>07</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卫生健康支出</w:t>
      </w:r>
      <w:r>
        <w:rPr>
          <w:rFonts w:hint="eastAsia" w:ascii="仿宋" w:hAnsi="仿宋" w:eastAsia="仿宋" w:cs="宋体"/>
          <w:sz w:val="32"/>
          <w:szCs w:val="32"/>
        </w:rPr>
        <w:t>132.39</w:t>
      </w:r>
      <w:r>
        <w:rPr>
          <w:rFonts w:ascii="仿宋" w:hAnsi="仿宋" w:eastAsia="仿宋" w:cs="宋体"/>
          <w:sz w:val="32"/>
          <w:szCs w:val="32"/>
        </w:rPr>
        <w:t>万元，占比</w:t>
      </w:r>
      <w:r>
        <w:rPr>
          <w:rFonts w:hint="eastAsia" w:ascii="仿宋" w:hAnsi="仿宋" w:eastAsia="仿宋" w:cs="宋体"/>
          <w:sz w:val="32"/>
          <w:szCs w:val="32"/>
        </w:rPr>
        <w:t>1.47</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住房保障支出</w:t>
      </w:r>
      <w:r>
        <w:rPr>
          <w:rFonts w:hint="eastAsia" w:ascii="仿宋" w:hAnsi="仿宋" w:eastAsia="仿宋" w:cs="宋体"/>
          <w:sz w:val="32"/>
          <w:szCs w:val="32"/>
        </w:rPr>
        <w:t>63.32</w:t>
      </w:r>
      <w:r>
        <w:rPr>
          <w:rFonts w:ascii="仿宋" w:hAnsi="仿宋" w:eastAsia="仿宋" w:cs="宋体"/>
          <w:sz w:val="32"/>
          <w:szCs w:val="32"/>
        </w:rPr>
        <w:t>万元，占比</w:t>
      </w:r>
      <w:r>
        <w:rPr>
          <w:rFonts w:hint="eastAsia" w:ascii="仿宋" w:hAnsi="仿宋" w:eastAsia="仿宋" w:cs="宋体"/>
          <w:sz w:val="32"/>
          <w:szCs w:val="32"/>
        </w:rPr>
        <w:t>0.7</w:t>
      </w:r>
      <w:r>
        <w:rPr>
          <w:rFonts w:ascii="仿宋" w:hAnsi="仿宋" w:eastAsia="仿宋" w:cs="宋体"/>
          <w:sz w:val="32"/>
          <w:szCs w:val="32"/>
        </w:rPr>
        <w:t>%</w:t>
      </w:r>
      <w:r>
        <w:rPr>
          <w:rFonts w:hint="eastAsia" w:ascii="仿宋" w:hAnsi="仿宋" w:eastAsia="仿宋" w:cs="宋体"/>
          <w:sz w:val="32"/>
          <w:szCs w:val="32"/>
        </w:rPr>
        <w:t>，</w:t>
      </w:r>
      <w:r>
        <w:rPr>
          <w:rFonts w:ascii="仿宋" w:hAnsi="仿宋" w:eastAsia="仿宋" w:cs="宋体"/>
          <w:sz w:val="32"/>
          <w:szCs w:val="32"/>
        </w:rPr>
        <w:t>政府性基金支出（彩票公益金）</w:t>
      </w:r>
      <w:r>
        <w:rPr>
          <w:rFonts w:hint="eastAsia" w:ascii="仿宋" w:hAnsi="仿宋" w:eastAsia="仿宋" w:cs="宋体"/>
          <w:sz w:val="32"/>
          <w:szCs w:val="32"/>
        </w:rPr>
        <w:t>249.07</w:t>
      </w:r>
      <w:r>
        <w:rPr>
          <w:rFonts w:ascii="仿宋" w:hAnsi="仿宋" w:eastAsia="仿宋" w:cs="宋体"/>
          <w:sz w:val="32"/>
          <w:szCs w:val="32"/>
        </w:rPr>
        <w:t>万元，占比</w:t>
      </w:r>
      <w:r>
        <w:rPr>
          <w:rFonts w:hint="eastAsia" w:ascii="仿宋" w:hAnsi="仿宋" w:eastAsia="仿宋" w:cs="宋体"/>
          <w:sz w:val="32"/>
          <w:szCs w:val="32"/>
        </w:rPr>
        <w:t>2.76</w:t>
      </w:r>
      <w:r>
        <w:rPr>
          <w:rFonts w:ascii="仿宋" w:hAnsi="仿宋" w:eastAsia="仿宋" w:cs="宋体"/>
          <w:sz w:val="32"/>
          <w:szCs w:val="32"/>
        </w:rPr>
        <w:t>%</w:t>
      </w:r>
      <w:r>
        <w:rPr>
          <w:rFonts w:hint="eastAsia" w:ascii="仿宋" w:hAnsi="仿宋" w:eastAsia="仿宋" w:cs="宋体"/>
          <w:sz w:val="32"/>
          <w:szCs w:val="32"/>
        </w:rPr>
        <w:t>。</w:t>
      </w:r>
    </w:p>
    <w:p>
      <w:pPr>
        <w:shd w:val="clear" w:color="auto" w:fill="FFFFFF"/>
        <w:spacing w:line="600" w:lineRule="exact"/>
        <w:ind w:firstLine="482" w:firstLineChars="150"/>
        <w:jc w:val="left"/>
        <w:textAlignment w:val="auto"/>
        <w:rPr>
          <w:rFonts w:ascii="仿宋" w:hAnsi="仿宋" w:eastAsia="仿宋" w:cs="宋体"/>
          <w:sz w:val="32"/>
          <w:szCs w:val="32"/>
        </w:rPr>
      </w:pPr>
      <w:r>
        <w:rPr>
          <w:rFonts w:ascii="仿宋" w:hAnsi="仿宋" w:eastAsia="仿宋" w:cs="宋体"/>
          <w:b/>
          <w:bCs/>
          <w:sz w:val="32"/>
          <w:szCs w:val="32"/>
        </w:rPr>
        <w:t>（二）部门预算执行情况</w:t>
      </w:r>
    </w:p>
    <w:p>
      <w:pPr>
        <w:shd w:val="clear" w:color="auto" w:fill="FFFFFF"/>
        <w:spacing w:line="600" w:lineRule="exact"/>
        <w:ind w:firstLine="643" w:firstLineChars="200"/>
        <w:jc w:val="left"/>
        <w:textAlignment w:val="auto"/>
        <w:rPr>
          <w:rFonts w:ascii="仿宋" w:hAnsi="仿宋" w:eastAsia="仿宋" w:cs="宋体"/>
          <w:sz w:val="32"/>
          <w:szCs w:val="32"/>
        </w:rPr>
      </w:pPr>
      <w:r>
        <w:rPr>
          <w:rFonts w:ascii="仿宋" w:hAnsi="仿宋" w:eastAsia="仿宋" w:cs="宋体"/>
          <w:b/>
          <w:bCs/>
          <w:sz w:val="32"/>
          <w:szCs w:val="32"/>
        </w:rPr>
        <w:t>1.基本支出情况</w:t>
      </w:r>
    </w:p>
    <w:p>
      <w:pPr>
        <w:shd w:val="clear" w:color="auto" w:fill="FFFFFF"/>
        <w:spacing w:line="600" w:lineRule="exact"/>
        <w:ind w:firstLine="640" w:firstLineChars="200"/>
        <w:textAlignment w:val="auto"/>
        <w:rPr>
          <w:rFonts w:ascii="仿宋" w:hAnsi="仿宋" w:eastAsia="仿宋" w:cs="宋体"/>
          <w:sz w:val="32"/>
          <w:szCs w:val="32"/>
        </w:rPr>
      </w:pPr>
      <w:r>
        <w:rPr>
          <w:rFonts w:ascii="仿宋" w:hAnsi="仿宋" w:eastAsia="仿宋" w:cs="宋体"/>
          <w:sz w:val="32"/>
          <w:szCs w:val="32"/>
        </w:rPr>
        <w:t>2022年基本支出数为</w:t>
      </w:r>
      <w:r>
        <w:rPr>
          <w:rFonts w:hint="eastAsia" w:ascii="仿宋" w:hAnsi="仿宋" w:eastAsia="仿宋" w:cs="宋体"/>
          <w:sz w:val="32"/>
          <w:szCs w:val="32"/>
        </w:rPr>
        <w:t>786.38万元，其中社会保障和就业支出686.14万元；卫生健康支出36.92万元；住房保障支出63.32万元。</w:t>
      </w:r>
    </w:p>
    <w:p>
      <w:pPr>
        <w:shd w:val="clear" w:color="auto" w:fill="FFFFFF"/>
        <w:spacing w:line="600" w:lineRule="exact"/>
        <w:ind w:firstLine="643" w:firstLineChars="200"/>
        <w:jc w:val="left"/>
        <w:textAlignment w:val="auto"/>
        <w:rPr>
          <w:rFonts w:ascii="仿宋" w:hAnsi="仿宋" w:eastAsia="仿宋" w:cs="宋体"/>
          <w:sz w:val="32"/>
          <w:szCs w:val="32"/>
        </w:rPr>
      </w:pPr>
      <w:r>
        <w:rPr>
          <w:rFonts w:hint="eastAsia" w:ascii="仿宋" w:hAnsi="仿宋" w:eastAsia="仿宋" w:cs="宋体"/>
          <w:b/>
          <w:bCs/>
          <w:sz w:val="32"/>
          <w:szCs w:val="32"/>
        </w:rPr>
        <w:t>2.</w:t>
      </w:r>
      <w:r>
        <w:rPr>
          <w:rFonts w:ascii="仿宋" w:hAnsi="仿宋" w:eastAsia="仿宋" w:cs="宋体"/>
          <w:b/>
          <w:bCs/>
          <w:sz w:val="32"/>
          <w:szCs w:val="32"/>
        </w:rPr>
        <w:t>项目支出情况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hint="eastAsia" w:ascii="仿宋" w:hAnsi="仿宋" w:eastAsia="仿宋" w:cs="宋体"/>
          <w:sz w:val="32"/>
          <w:szCs w:val="32"/>
        </w:rPr>
        <w:t>2022年</w:t>
      </w:r>
      <w:r>
        <w:rPr>
          <w:rFonts w:ascii="仿宋" w:hAnsi="仿宋" w:eastAsia="仿宋" w:cs="宋体"/>
          <w:sz w:val="32"/>
          <w:szCs w:val="32"/>
        </w:rPr>
        <w:t>项目支出数为</w:t>
      </w:r>
      <w:r>
        <w:rPr>
          <w:rFonts w:hint="eastAsia" w:ascii="仿宋" w:hAnsi="仿宋" w:eastAsia="仿宋" w:cs="宋体"/>
          <w:sz w:val="32"/>
          <w:szCs w:val="32"/>
        </w:rPr>
        <w:t>8242.75</w:t>
      </w:r>
      <w:r>
        <w:rPr>
          <w:rFonts w:ascii="仿宋" w:hAnsi="仿宋" w:eastAsia="仿宋" w:cs="宋体"/>
          <w:sz w:val="32"/>
          <w:szCs w:val="32"/>
        </w:rPr>
        <w:t>万元，</w:t>
      </w:r>
      <w:r>
        <w:rPr>
          <w:rFonts w:hint="eastAsia" w:ascii="仿宋" w:hAnsi="仿宋" w:eastAsia="仿宋" w:cs="宋体"/>
          <w:sz w:val="32"/>
          <w:szCs w:val="32"/>
        </w:rPr>
        <w:t>其中社会保障和就业支出7898.2万元；卫生健康支出95.48万元；其他支出（用于社会福利的彩票公益金）249.07万元。</w:t>
      </w:r>
    </w:p>
    <w:p>
      <w:pPr>
        <w:shd w:val="clear" w:color="auto" w:fill="FFFFFF"/>
        <w:spacing w:line="600" w:lineRule="exact"/>
        <w:ind w:firstLine="643" w:firstLineChars="200"/>
        <w:jc w:val="left"/>
        <w:textAlignment w:val="auto"/>
        <w:rPr>
          <w:rFonts w:ascii="仿宋" w:hAnsi="仿宋" w:eastAsia="仿宋" w:cs="宋体"/>
          <w:b/>
          <w:bCs/>
          <w:sz w:val="32"/>
          <w:szCs w:val="32"/>
        </w:rPr>
      </w:pPr>
      <w:r>
        <w:rPr>
          <w:rFonts w:hint="eastAsia" w:ascii="仿宋" w:hAnsi="仿宋" w:eastAsia="仿宋" w:cs="宋体"/>
          <w:b/>
          <w:bCs/>
          <w:sz w:val="32"/>
          <w:szCs w:val="32"/>
        </w:rPr>
        <w:t>（三）</w:t>
      </w:r>
      <w:r>
        <w:rPr>
          <w:rFonts w:ascii="仿宋" w:hAnsi="仿宋" w:eastAsia="仿宋" w:cs="宋体"/>
          <w:b/>
          <w:bCs/>
          <w:sz w:val="32"/>
          <w:szCs w:val="32"/>
        </w:rPr>
        <w:t>固定资产</w:t>
      </w:r>
      <w:r>
        <w:rPr>
          <w:rFonts w:hint="eastAsia" w:ascii="仿宋" w:hAnsi="仿宋" w:eastAsia="仿宋" w:cs="宋体"/>
          <w:b/>
          <w:bCs/>
          <w:sz w:val="32"/>
          <w:szCs w:val="32"/>
        </w:rPr>
        <w:t>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hint="eastAsia" w:ascii="仿宋" w:hAnsi="仿宋" w:eastAsia="仿宋" w:cs="宋体"/>
          <w:bCs/>
          <w:sz w:val="32"/>
          <w:szCs w:val="32"/>
        </w:rPr>
        <w:t>固定资产年初总值555.13万元，年末资产总值561.21万元。在建工程年初总值716.92万元，年末总值759.52万元。</w:t>
      </w:r>
    </w:p>
    <w:p>
      <w:pPr>
        <w:shd w:val="clear" w:color="auto" w:fill="FFFFFF"/>
        <w:spacing w:line="600" w:lineRule="exact"/>
        <w:ind w:left="0" w:firstLine="482" w:firstLineChars="150"/>
        <w:jc w:val="left"/>
        <w:textAlignment w:val="auto"/>
        <w:rPr>
          <w:rFonts w:ascii="仿宋" w:hAnsi="仿宋" w:eastAsia="仿宋" w:cs="宋体"/>
          <w:sz w:val="32"/>
          <w:szCs w:val="32"/>
        </w:rPr>
      </w:pPr>
      <w:r>
        <w:rPr>
          <w:rFonts w:ascii="仿宋" w:hAnsi="仿宋" w:eastAsia="仿宋" w:cs="宋体"/>
          <w:b/>
          <w:bCs/>
          <w:sz w:val="32"/>
          <w:szCs w:val="32"/>
        </w:rPr>
        <w:t>（</w:t>
      </w:r>
      <w:r>
        <w:rPr>
          <w:rFonts w:hint="eastAsia" w:ascii="仿宋" w:hAnsi="仿宋" w:eastAsia="仿宋" w:cs="宋体"/>
          <w:b/>
          <w:bCs/>
          <w:sz w:val="32"/>
          <w:szCs w:val="32"/>
        </w:rPr>
        <w:t>四</w:t>
      </w:r>
      <w:r>
        <w:rPr>
          <w:rFonts w:ascii="仿宋" w:hAnsi="仿宋" w:eastAsia="仿宋" w:cs="宋体"/>
          <w:b/>
          <w:bCs/>
          <w:sz w:val="32"/>
          <w:szCs w:val="32"/>
        </w:rPr>
        <w:t>）财务管理制度执行情况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ascii="仿宋" w:hAnsi="仿宋" w:eastAsia="仿宋" w:cs="宋体"/>
          <w:sz w:val="32"/>
          <w:szCs w:val="32"/>
        </w:rPr>
        <w:t>我单位组织全面梳理了各项财务制度，从预算收支管理、资产管理、政府采购管理、合同管理等方面健全和完善单位财务管理制度，坚定实施《</w:t>
      </w:r>
      <w:r>
        <w:rPr>
          <w:rFonts w:hint="eastAsia" w:ascii="仿宋" w:hAnsi="仿宋" w:eastAsia="仿宋" w:cs="宋体"/>
          <w:sz w:val="32"/>
          <w:szCs w:val="32"/>
        </w:rPr>
        <w:t>新晃</w:t>
      </w:r>
      <w:r>
        <w:rPr>
          <w:rFonts w:ascii="仿宋" w:hAnsi="仿宋" w:eastAsia="仿宋" w:cs="宋体"/>
          <w:sz w:val="32"/>
          <w:szCs w:val="32"/>
        </w:rPr>
        <w:t>县民政局内部控制制度》。一是强化财务约束，严格控制一般性支出，推进厉行节约信息公开</w:t>
      </w:r>
      <w:r>
        <w:rPr>
          <w:rFonts w:hint="eastAsia" w:ascii="仿宋" w:hAnsi="仿宋" w:eastAsia="仿宋" w:cs="宋体"/>
          <w:sz w:val="32"/>
          <w:szCs w:val="32"/>
          <w:lang w:eastAsia="zh-CN"/>
        </w:rPr>
        <w:t>。</w:t>
      </w:r>
      <w:r>
        <w:rPr>
          <w:rFonts w:ascii="仿宋" w:hAnsi="仿宋" w:eastAsia="仿宋" w:cs="宋体"/>
          <w:sz w:val="32"/>
          <w:szCs w:val="32"/>
        </w:rPr>
        <w:t>二是提高预算管理水平，增强部门预算编制的科学性</w:t>
      </w:r>
      <w:r>
        <w:rPr>
          <w:rFonts w:hint="eastAsia" w:ascii="仿宋" w:hAnsi="仿宋" w:eastAsia="仿宋" w:cs="宋体"/>
          <w:sz w:val="32"/>
          <w:szCs w:val="32"/>
          <w:lang w:eastAsia="zh-CN"/>
        </w:rPr>
        <w:t>。</w:t>
      </w:r>
      <w:r>
        <w:rPr>
          <w:rFonts w:ascii="仿宋" w:hAnsi="仿宋" w:eastAsia="仿宋" w:cs="宋体"/>
          <w:sz w:val="32"/>
          <w:szCs w:val="32"/>
        </w:rPr>
        <w:t>三是推进预算绩效管理，精准编制预算绩效管理目标，提高财政资金使用效益</w:t>
      </w:r>
      <w:r>
        <w:rPr>
          <w:rFonts w:hint="eastAsia" w:ascii="仿宋" w:hAnsi="仿宋" w:eastAsia="仿宋" w:cs="宋体"/>
          <w:sz w:val="32"/>
          <w:szCs w:val="32"/>
          <w:lang w:eastAsia="zh-CN"/>
        </w:rPr>
        <w:t>。</w:t>
      </w:r>
      <w:r>
        <w:rPr>
          <w:rFonts w:ascii="仿宋" w:hAnsi="仿宋" w:eastAsia="仿宋" w:cs="宋体"/>
          <w:sz w:val="32"/>
          <w:szCs w:val="32"/>
        </w:rPr>
        <w:t>四是强化财务规范化管理，加快预算执行进度，加大对项目资金的监督检查。</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、单位整体支出绩效状况</w:t>
      </w:r>
    </w:p>
    <w:p>
      <w:pPr>
        <w:shd w:val="clear" w:color="auto" w:fill="FFFFFF"/>
        <w:spacing w:line="600" w:lineRule="exact"/>
        <w:ind w:left="0" w:firstLine="600"/>
        <w:textAlignment w:val="auto"/>
        <w:rPr>
          <w:rFonts w:ascii="仿宋" w:hAnsi="仿宋" w:eastAsia="仿宋" w:cs="宋体"/>
          <w:b/>
          <w:sz w:val="32"/>
          <w:szCs w:val="32"/>
        </w:rPr>
      </w:pPr>
      <w:r>
        <w:rPr>
          <w:rFonts w:hint="eastAsia" w:ascii="仿宋" w:hAnsi="仿宋" w:eastAsia="仿宋" w:cs="宋体"/>
          <w:b/>
          <w:sz w:val="32"/>
          <w:szCs w:val="32"/>
        </w:rPr>
        <w:t>（一）绩效目标完成情况</w:t>
      </w:r>
    </w:p>
    <w:p>
      <w:pPr>
        <w:shd w:val="clear" w:color="auto" w:fill="FFFFFF"/>
        <w:spacing w:line="600" w:lineRule="exact"/>
        <w:ind w:firstLine="640" w:firstLineChars="200"/>
        <w:jc w:val="left"/>
        <w:textAlignment w:val="auto"/>
        <w:rPr>
          <w:rFonts w:ascii="仿宋" w:hAnsi="仿宋" w:eastAsia="仿宋" w:cs="宋体"/>
          <w:sz w:val="32"/>
          <w:szCs w:val="32"/>
        </w:rPr>
      </w:pPr>
      <w:r>
        <w:rPr>
          <w:rFonts w:ascii="仿宋" w:hAnsi="仿宋" w:eastAsia="仿宋"/>
          <w:sz w:val="32"/>
          <w:szCs w:val="32"/>
        </w:rPr>
        <w:t>按照年初设定的绩效目标，我单位严格执行预算，力控行政成本，加快支出进度，完成了绩效目标。</w:t>
      </w:r>
      <w:r>
        <w:rPr>
          <w:rFonts w:ascii="仿宋" w:hAnsi="仿宋" w:eastAsia="仿宋" w:cs="宋体"/>
          <w:sz w:val="32"/>
          <w:szCs w:val="32"/>
        </w:rPr>
        <w:t>基本支出不突破预算、</w:t>
      </w:r>
      <w:r>
        <w:rPr>
          <w:rFonts w:hint="eastAsia" w:ascii="仿宋" w:hAnsi="仿宋" w:eastAsia="仿宋" w:cs="宋体"/>
          <w:sz w:val="32"/>
          <w:szCs w:val="32"/>
        </w:rPr>
        <w:t>低保金</w:t>
      </w:r>
      <w:r>
        <w:rPr>
          <w:rFonts w:ascii="仿宋" w:hAnsi="仿宋" w:eastAsia="仿宋" w:cs="宋体"/>
          <w:sz w:val="32"/>
          <w:szCs w:val="32"/>
        </w:rPr>
        <w:t>精准发放、</w:t>
      </w:r>
      <w:r>
        <w:rPr>
          <w:rFonts w:hint="eastAsia" w:ascii="仿宋" w:hAnsi="仿宋" w:eastAsia="仿宋" w:cs="宋体"/>
          <w:sz w:val="32"/>
          <w:szCs w:val="32"/>
        </w:rPr>
        <w:t>特困供养金精准发放、残疾人生活补贴和护理补贴精准发放、孤儿和事实无人抚养儿童生活补贴精准发放、</w:t>
      </w:r>
      <w:r>
        <w:rPr>
          <w:rFonts w:ascii="仿宋" w:hAnsi="仿宋" w:eastAsia="仿宋" w:cs="宋体"/>
          <w:sz w:val="32"/>
          <w:szCs w:val="32"/>
        </w:rPr>
        <w:t>孤儿助学金精准发放、社会组织精准登记、婚姻登记率百分百完成、高龄老人</w:t>
      </w:r>
      <w:r>
        <w:rPr>
          <w:rFonts w:hint="eastAsia" w:ascii="仿宋" w:hAnsi="仿宋" w:eastAsia="仿宋" w:cs="宋体"/>
          <w:sz w:val="32"/>
          <w:szCs w:val="32"/>
        </w:rPr>
        <w:t>津贴</w:t>
      </w:r>
      <w:bookmarkStart w:id="0" w:name="_GoBack"/>
      <w:bookmarkEnd w:id="0"/>
      <w:r>
        <w:rPr>
          <w:rFonts w:ascii="仿宋" w:hAnsi="仿宋" w:eastAsia="仿宋" w:cs="宋体"/>
          <w:sz w:val="32"/>
          <w:szCs w:val="32"/>
        </w:rPr>
        <w:t>精准发放。</w:t>
      </w:r>
    </w:p>
    <w:p>
      <w:pPr>
        <w:shd w:val="clear" w:color="auto" w:fill="FFFFFF"/>
        <w:spacing w:line="600" w:lineRule="exact"/>
        <w:ind w:left="0" w:firstLine="600"/>
        <w:textAlignment w:val="auto"/>
        <w:rPr>
          <w:rFonts w:ascii="仿宋" w:hAnsi="仿宋" w:eastAsia="仿宋" w:cs="宋体"/>
          <w:sz w:val="32"/>
          <w:szCs w:val="32"/>
        </w:rPr>
      </w:pPr>
      <w:r>
        <w:rPr>
          <w:rFonts w:hint="eastAsia" w:ascii="仿宋" w:hAnsi="仿宋" w:eastAsia="仿宋" w:cs="宋体"/>
          <w:b/>
          <w:sz w:val="32"/>
          <w:szCs w:val="32"/>
        </w:rPr>
        <w:t>（二）绩效效益分析</w:t>
      </w:r>
    </w:p>
    <w:p>
      <w:pPr>
        <w:shd w:val="clear" w:color="auto" w:fill="FFFFFF"/>
        <w:spacing w:line="600" w:lineRule="exact"/>
        <w:ind w:left="0" w:firstLine="640" w:firstLineChars="200"/>
        <w:jc w:val="left"/>
        <w:textAlignment w:val="auto"/>
        <w:rPr>
          <w:rFonts w:ascii="仿宋" w:hAnsi="仿宋" w:eastAsia="仿宋" w:cs="宋体"/>
          <w:sz w:val="32"/>
          <w:szCs w:val="32"/>
        </w:rPr>
      </w:pPr>
      <w:r>
        <w:rPr>
          <w:rFonts w:hint="eastAsia" w:ascii="仿宋" w:hAnsi="仿宋" w:eastAsia="仿宋" w:cs="宋体"/>
          <w:sz w:val="32"/>
          <w:szCs w:val="32"/>
        </w:rPr>
        <w:t>1.职责履行方面，新晃县民政局以党的二十大精神和习近平新时代中国特色社会主义思想为指导，聚焦“三最一专”主责主业，扎实完成了各项工作任务。一是强化党建引领，高质量推动党的建设；二是持续巩固拓展脱贫成果，全面推进乡村振兴；三是聚焦最底线的民生保障，救助水平逐年提高，补贴标准按时按量完成提标任务；四是突出最基本社会服务，养老服务体系不断健全，殡葬改革持续推进。五是</w:t>
      </w:r>
      <w:r>
        <w:rPr>
          <w:rFonts w:hint="eastAsia" w:ascii="仿宋" w:hAnsi="仿宋" w:eastAsia="仿宋"/>
          <w:sz w:val="32"/>
          <w:szCs w:val="32"/>
          <w:shd w:val="clear" w:color="auto" w:fill="FFFFFF"/>
        </w:rPr>
        <w:t>基层治理不断优化，社会服务不断改进，服务对象满意度越来越高，服务对象满意度达90%。</w:t>
      </w:r>
    </w:p>
    <w:p>
      <w:pPr>
        <w:shd w:val="clear" w:color="auto" w:fill="FFFFFF"/>
        <w:spacing w:line="600" w:lineRule="exact"/>
        <w:ind w:left="0" w:firstLine="640" w:firstLineChars="200"/>
        <w:textAlignment w:val="auto"/>
        <w:rPr>
          <w:rFonts w:ascii="仿宋" w:hAnsi="仿宋" w:eastAsia="仿宋" w:cs="宋体"/>
          <w:sz w:val="32"/>
          <w:szCs w:val="32"/>
        </w:rPr>
      </w:pPr>
      <w:r>
        <w:rPr>
          <w:rFonts w:hint="eastAsia" w:ascii="仿宋" w:hAnsi="仿宋" w:eastAsia="仿宋" w:cs="宋体"/>
          <w:sz w:val="32"/>
          <w:szCs w:val="32"/>
        </w:rPr>
        <w:t>2.履职效益方面，2022年，我局严格按财政局的批复执行预算，“三公”经费、会议费等一般公务支出严格控制在预算标准内，增强了职能履行和重点工作经费的保障能力；加快预算执行进度，提高资金使用绩效；推进预决算和“三公”经费公开，规范财务管理；加强财务监督检查，财务管理水平稳步提高；加强社会管理的责任和义务，依法提升行政服务水平；加强经费及资产管理，推动网上办事，大大提高了行政效率；加强单位人员业务、服务态度及网上办事的能力，大大提高了行政效率，获得了社会公众及服务对象的认可</w:t>
      </w:r>
      <w:r>
        <w:rPr>
          <w:rFonts w:hint="eastAsia" w:ascii="仿宋" w:hAnsi="仿宋" w:eastAsia="仿宋"/>
          <w:color w:val="333333"/>
          <w:sz w:val="32"/>
          <w:szCs w:val="32"/>
          <w:shd w:val="clear" w:color="auto" w:fill="FFFFFF"/>
        </w:rPr>
        <w:t>。2022年我局被评为市文明单位，县绩效考核优秀单位。</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、存在的问题及原因</w:t>
      </w:r>
    </w:p>
    <w:p>
      <w:pPr>
        <w:shd w:val="clear" w:color="auto" w:fill="FFFFFF"/>
        <w:spacing w:line="600" w:lineRule="exact"/>
        <w:ind w:firstLine="640" w:firstLineChars="200"/>
        <w:jc w:val="left"/>
        <w:textAlignment w:val="auto"/>
        <w:rPr>
          <w:rFonts w:ascii="仿宋" w:hAnsi="仿宋" w:eastAsia="仿宋"/>
          <w:sz w:val="32"/>
          <w:szCs w:val="32"/>
          <w:shd w:val="clear" w:color="auto" w:fill="FFFFFF"/>
        </w:rPr>
      </w:pPr>
      <w:r>
        <w:rPr>
          <w:rFonts w:hint="eastAsia" w:ascii="仿宋" w:hAnsi="仿宋" w:eastAsia="仿宋"/>
          <w:sz w:val="32"/>
          <w:szCs w:val="32"/>
          <w:shd w:val="clear" w:color="auto" w:fill="FFFFFF"/>
        </w:rPr>
        <w:t>1</w:t>
      </w:r>
      <w:r>
        <w:rPr>
          <w:rFonts w:ascii="仿宋" w:hAnsi="仿宋" w:eastAsia="仿宋"/>
          <w:sz w:val="32"/>
          <w:szCs w:val="32"/>
          <w:shd w:val="clear" w:color="auto" w:fill="FFFFFF"/>
        </w:rPr>
        <w:t>.乡镇敬老院居住环境急需提质改造，民办养老机构建设支持力度不大，难以</w:t>
      </w:r>
      <w:r>
        <w:rPr>
          <w:rFonts w:hint="eastAsia" w:ascii="仿宋" w:hAnsi="仿宋" w:eastAsia="仿宋"/>
          <w:sz w:val="32"/>
          <w:szCs w:val="32"/>
          <w:shd w:val="clear" w:color="auto" w:fill="FFFFFF"/>
        </w:rPr>
        <w:t>满足</w:t>
      </w:r>
      <w:r>
        <w:rPr>
          <w:rFonts w:ascii="仿宋" w:hAnsi="仿宋" w:eastAsia="仿宋"/>
          <w:sz w:val="32"/>
          <w:szCs w:val="32"/>
          <w:shd w:val="clear" w:color="auto" w:fill="FFFFFF"/>
        </w:rPr>
        <w:t>群众日益增长的养老服务需求,</w:t>
      </w:r>
      <w:r>
        <w:rPr>
          <w:rFonts w:hint="eastAsia" w:ascii="仿宋" w:hAnsi="仿宋" w:eastAsia="仿宋"/>
          <w:sz w:val="32"/>
          <w:szCs w:val="32"/>
          <w:shd w:val="clear" w:color="auto" w:fill="FFFFFF"/>
        </w:rPr>
        <w:t>殡葬服务体系</w:t>
      </w:r>
      <w:r>
        <w:rPr>
          <w:rFonts w:ascii="仿宋" w:hAnsi="仿宋" w:eastAsia="仿宋"/>
          <w:sz w:val="32"/>
          <w:szCs w:val="32"/>
          <w:shd w:val="clear" w:color="auto" w:fill="FFFFFF"/>
        </w:rPr>
        <w:t>建设也需加快推进。</w:t>
      </w:r>
    </w:p>
    <w:p>
      <w:pPr>
        <w:shd w:val="clear" w:color="auto" w:fill="FFFFFF"/>
        <w:spacing w:line="600" w:lineRule="exact"/>
        <w:ind w:firstLine="640" w:firstLineChars="200"/>
        <w:jc w:val="left"/>
        <w:textAlignment w:val="auto"/>
        <w:rPr>
          <w:rFonts w:ascii="仿宋" w:hAnsi="仿宋" w:eastAsia="仿宋" w:cs="宋体"/>
          <w:sz w:val="32"/>
          <w:szCs w:val="32"/>
        </w:rPr>
      </w:pPr>
      <w:r>
        <w:rPr>
          <w:rFonts w:ascii="仿宋" w:hAnsi="仿宋" w:eastAsia="仿宋" w:cs="宋体"/>
          <w:sz w:val="32"/>
          <w:szCs w:val="32"/>
        </w:rPr>
        <w:t>2.</w:t>
      </w:r>
      <w:r>
        <w:rPr>
          <w:rFonts w:hint="eastAsia" w:ascii="仿宋" w:hAnsi="仿宋" w:eastAsia="仿宋" w:cs="宋体"/>
          <w:sz w:val="32"/>
          <w:szCs w:val="32"/>
        </w:rPr>
        <w:t>福彩和老区项目资金拨付不及时，导致乡镇和村（居）申报项目不积极，施工进度严重滞后</w:t>
      </w:r>
      <w:r>
        <w:rPr>
          <w:rFonts w:ascii="仿宋" w:hAnsi="仿宋" w:eastAsia="仿宋" w:cs="宋体"/>
          <w:sz w:val="32"/>
          <w:szCs w:val="32"/>
        </w:rPr>
        <w:t>。</w:t>
      </w:r>
    </w:p>
    <w:p>
      <w:pPr>
        <w:spacing w:line="600" w:lineRule="exact"/>
        <w:ind w:firstLine="640" w:firstLineChars="200"/>
        <w:jc w:val="left"/>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、提高财政资金绩效的措施与建议</w:t>
      </w:r>
    </w:p>
    <w:p>
      <w:pPr>
        <w:pStyle w:val="4"/>
        <w:shd w:val="clear" w:color="auto" w:fill="FFFFFF"/>
        <w:spacing w:before="0" w:beforeAutospacing="0" w:after="0" w:afterAutospacing="0" w:line="600" w:lineRule="exact"/>
        <w:ind w:firstLine="640" w:firstLineChars="200"/>
        <w:jc w:val="both"/>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.建议加大</w:t>
      </w:r>
      <w:r>
        <w:rPr>
          <w:rFonts w:hint="eastAsia" w:ascii="仿宋" w:hAnsi="仿宋" w:eastAsia="仿宋"/>
          <w:sz w:val="32"/>
          <w:szCs w:val="32"/>
        </w:rPr>
        <w:t>对养老领域</w:t>
      </w:r>
      <w:r>
        <w:rPr>
          <w:rFonts w:ascii="仿宋" w:hAnsi="仿宋" w:eastAsia="仿宋"/>
          <w:sz w:val="32"/>
          <w:szCs w:val="32"/>
        </w:rPr>
        <w:t>资金支持力度。加大对乡镇敬老院改扩建以及养老服务机构的支持力度，提升</w:t>
      </w:r>
      <w:r>
        <w:rPr>
          <w:rFonts w:hint="eastAsia" w:ascii="仿宋" w:hAnsi="仿宋" w:eastAsia="仿宋"/>
          <w:sz w:val="32"/>
          <w:szCs w:val="32"/>
        </w:rPr>
        <w:t>我县</w:t>
      </w:r>
      <w:r>
        <w:rPr>
          <w:rFonts w:ascii="仿宋" w:hAnsi="仿宋" w:eastAsia="仿宋"/>
          <w:sz w:val="32"/>
          <w:szCs w:val="32"/>
        </w:rPr>
        <w:t>养老服务能力水平。</w:t>
      </w:r>
    </w:p>
    <w:p>
      <w:pPr>
        <w:shd w:val="clear" w:color="auto" w:fill="FFFFFF"/>
        <w:spacing w:line="600" w:lineRule="exact"/>
        <w:ind w:firstLine="640" w:firstLineChars="200"/>
        <w:textAlignment w:val="auto"/>
        <w:rPr>
          <w:rFonts w:ascii="仿宋" w:hAnsi="仿宋" w:eastAsia="仿宋" w:cs="宋体"/>
          <w:sz w:val="32"/>
          <w:szCs w:val="32"/>
        </w:rPr>
      </w:pPr>
      <w:r>
        <w:rPr>
          <w:rFonts w:ascii="微软雅黑" w:hAnsi="微软雅黑" w:eastAsia="仿宋" w:cs="宋体"/>
          <w:sz w:val="32"/>
          <w:szCs w:val="32"/>
        </w:rPr>
        <w:t> </w:t>
      </w:r>
      <w:r>
        <w:rPr>
          <w:rFonts w:ascii="仿宋" w:hAnsi="仿宋" w:eastAsia="仿宋" w:cs="宋体"/>
          <w:sz w:val="32"/>
          <w:szCs w:val="32"/>
        </w:rPr>
        <w:t>2.</w:t>
      </w:r>
      <w:r>
        <w:rPr>
          <w:rFonts w:hint="eastAsia" w:ascii="仿宋" w:hAnsi="仿宋" w:eastAsia="仿宋" w:cs="宋体"/>
          <w:sz w:val="32"/>
          <w:szCs w:val="32"/>
        </w:rPr>
        <w:t>加大老区和福彩资金拨付进度，确保社会福利类项目落实到基层</w:t>
      </w:r>
      <w:r>
        <w:rPr>
          <w:rFonts w:ascii="仿宋" w:hAnsi="仿宋" w:eastAsia="仿宋" w:cs="宋体"/>
          <w:sz w:val="32"/>
          <w:szCs w:val="32"/>
        </w:rPr>
        <w:t>。</w:t>
      </w:r>
    </w:p>
    <w:p>
      <w:pPr>
        <w:spacing w:line="600" w:lineRule="exact"/>
        <w:ind w:firstLine="640" w:firstLineChars="200"/>
        <w:jc w:val="left"/>
        <w:rPr>
          <w:rFonts w:ascii="仿宋" w:hAnsi="仿宋" w:eastAsia="仿宋"/>
          <w:sz w:val="32"/>
          <w:szCs w:val="32"/>
        </w:rPr>
      </w:pPr>
    </w:p>
    <w:p>
      <w:pPr>
        <w:spacing w:line="600" w:lineRule="exact"/>
        <w:ind w:left="0"/>
        <w:jc w:val="left"/>
        <w:rPr>
          <w:rFonts w:ascii="仿宋" w:hAnsi="仿宋" w:eastAsia="仿宋"/>
          <w:sz w:val="32"/>
          <w:szCs w:val="32"/>
        </w:rPr>
      </w:pPr>
    </w:p>
    <w:p>
      <w:pPr>
        <w:spacing w:line="600" w:lineRule="exact"/>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2023</w:t>
      </w:r>
      <w:r>
        <w:rPr>
          <w:rFonts w:ascii="仿宋" w:hAnsi="仿宋" w:eastAsia="仿宋"/>
          <w:sz w:val="32"/>
          <w:szCs w:val="32"/>
        </w:rPr>
        <w:t>年</w:t>
      </w:r>
      <w:r>
        <w:rPr>
          <w:rFonts w:hint="eastAsia" w:ascii="仿宋" w:hAnsi="仿宋" w:eastAsia="仿宋"/>
          <w:sz w:val="32"/>
          <w:szCs w:val="32"/>
        </w:rPr>
        <w:t>5</w:t>
      </w:r>
      <w:r>
        <w:rPr>
          <w:rFonts w:ascii="仿宋" w:hAnsi="仿宋" w:eastAsia="仿宋"/>
          <w:sz w:val="32"/>
          <w:szCs w:val="32"/>
        </w:rPr>
        <w:t>月</w:t>
      </w:r>
      <w:r>
        <w:rPr>
          <w:rFonts w:hint="eastAsia" w:ascii="仿宋" w:hAnsi="仿宋" w:eastAsia="仿宋"/>
          <w:sz w:val="32"/>
          <w:szCs w:val="32"/>
        </w:rPr>
        <w:t>20</w:t>
      </w:r>
      <w:r>
        <w:rPr>
          <w:rFonts w:ascii="仿宋" w:hAnsi="仿宋" w:eastAsia="仿宋"/>
          <w:sz w:val="32"/>
          <w:szCs w:val="32"/>
        </w:rPr>
        <w:t>日</w:t>
      </w:r>
    </w:p>
    <w:p>
      <w:pPr>
        <w:spacing w:line="600" w:lineRule="exact"/>
        <w:rPr>
          <w:rFonts w:ascii="仿宋" w:hAnsi="仿宋" w:eastAsia="仿宋"/>
          <w:sz w:val="32"/>
          <w:szCs w:val="32"/>
        </w:rPr>
      </w:pPr>
    </w:p>
    <w:sectPr>
      <w:footerReference r:id="rId5" w:type="default"/>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6204015"/>
      <w:docPartObj>
        <w:docPartGallery w:val="autotext"/>
      </w:docPartObj>
    </w:sdtPr>
    <w:sdtContent>
      <w:p>
        <w:pPr>
          <w:pStyle w:val="2"/>
          <w:jc w:val="center"/>
        </w:pPr>
        <w:r>
          <w:fldChar w:fldCharType="begin"/>
        </w:r>
        <w:r>
          <w:instrText xml:space="preserve">PAGE   \* MERGEFORMAT</w:instrText>
        </w:r>
        <w:r>
          <w:fldChar w:fldCharType="separate"/>
        </w:r>
        <w:r>
          <w:rPr>
            <w:lang w:val="zh-CN"/>
          </w:rPr>
          <w:t>5</w:t>
        </w:r>
        <w:r>
          <w:fldChar w:fldCharType="end"/>
        </w:r>
      </w:p>
    </w:sdtContent>
  </w:sdt>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MyNDk1OTE5Y2JlMzFjYzNkMzc3Njg2Y2I3ZmU5ODEifQ=="/>
  </w:docVars>
  <w:rsids>
    <w:rsidRoot w:val="00FC7CFE"/>
    <w:rsid w:val="0016262B"/>
    <w:rsid w:val="0023752C"/>
    <w:rsid w:val="002614C7"/>
    <w:rsid w:val="00300B6C"/>
    <w:rsid w:val="00376608"/>
    <w:rsid w:val="003C3552"/>
    <w:rsid w:val="00460B0B"/>
    <w:rsid w:val="00585A07"/>
    <w:rsid w:val="00666E16"/>
    <w:rsid w:val="00674E82"/>
    <w:rsid w:val="006C729A"/>
    <w:rsid w:val="007041A2"/>
    <w:rsid w:val="00736144"/>
    <w:rsid w:val="00756F3E"/>
    <w:rsid w:val="007D7007"/>
    <w:rsid w:val="00893336"/>
    <w:rsid w:val="008C33E3"/>
    <w:rsid w:val="0093135C"/>
    <w:rsid w:val="009E6266"/>
    <w:rsid w:val="00A756CD"/>
    <w:rsid w:val="00AA0494"/>
    <w:rsid w:val="00B109FD"/>
    <w:rsid w:val="00C02AE0"/>
    <w:rsid w:val="00C167CA"/>
    <w:rsid w:val="00C72314"/>
    <w:rsid w:val="00CA3609"/>
    <w:rsid w:val="00CD2340"/>
    <w:rsid w:val="00D6087D"/>
    <w:rsid w:val="00DD6459"/>
    <w:rsid w:val="00E15149"/>
    <w:rsid w:val="00E304C8"/>
    <w:rsid w:val="00E663AF"/>
    <w:rsid w:val="00EC50A6"/>
    <w:rsid w:val="00F85ACD"/>
    <w:rsid w:val="00FB7AAD"/>
    <w:rsid w:val="00FC7CFE"/>
    <w:rsid w:val="05400295"/>
    <w:rsid w:val="463C1243"/>
    <w:rsid w:val="4C056031"/>
    <w:rsid w:val="5A53355E"/>
    <w:rsid w:val="5CD175C5"/>
    <w:rsid w:val="617526CF"/>
    <w:rsid w:val="6BB3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qFormat/>
    <w:uiPriority w:val="0"/>
    <w:rPr>
      <w:b/>
      <w:bCs/>
    </w:rPr>
  </w:style>
  <w:style w:type="paragraph" w:customStyle="1" w:styleId="8">
    <w:name w:val="p"/>
    <w:basedOn w:val="1"/>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customStyle="1" w:styleId="9">
    <w:name w:val="页眉 Char"/>
    <w:basedOn w:val="6"/>
    <w:link w:val="3"/>
    <w:uiPriority w:val="99"/>
    <w:rPr>
      <w:rFonts w:ascii="Times New Roman" w:hAnsi="Times New Roman" w:eastAsia="宋体" w:cs="Times New Roman"/>
      <w:kern w:val="0"/>
      <w:sz w:val="18"/>
      <w:szCs w:val="18"/>
    </w:rPr>
  </w:style>
  <w:style w:type="character" w:customStyle="1" w:styleId="10">
    <w:name w:val="页脚 Char"/>
    <w:basedOn w:val="6"/>
    <w:link w:val="2"/>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1947</Words>
  <Characters>2112</Characters>
  <Lines>15</Lines>
  <Paragraphs>4</Paragraphs>
  <TotalTime>244</TotalTime>
  <ScaleCrop>false</ScaleCrop>
  <LinksUpToDate>false</LinksUpToDate>
  <CharactersWithSpaces>2151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2022-05-22T06:45:00Z</dcterms:created>
  <dc:creator>Administrator</dc:creator>
  <cp:lastModifiedBy>Administrator</cp:lastModifiedBy>
  <dcterms:modified xsi:type="dcterms:W3CDTF">2023-05-30T08:22:36Z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A9A1E05559E34C619145655C29B7B341_12</vt:lpwstr>
  </property>
</Properties>
</file>