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val="0"/>
        <w:kinsoku/>
        <w:wordWrap/>
        <w:overflowPunct/>
        <w:topLinePunct w:val="0"/>
        <w:autoSpaceDE/>
        <w:autoSpaceDN/>
        <w:bidi w:val="0"/>
        <w:adjustRightInd/>
        <w:spacing w:before="0" w:beforeAutospacing="0" w:after="0" w:afterAutospacing="0" w:line="540" w:lineRule="exact"/>
        <w:jc w:val="left"/>
        <w:textAlignment w:val="auto"/>
        <w:rPr>
          <w:rFonts w:hint="default" w:ascii="Times New Roman" w:hAnsi="Times New Roman" w:eastAsia="仿宋_GB2312" w:cs="Times New Roman"/>
          <w:kern w:val="0"/>
          <w:sz w:val="28"/>
          <w:szCs w:val="28"/>
          <w:lang w:val="en-US" w:eastAsia="zh-CN" w:bidi="ar-SA"/>
        </w:rPr>
      </w:pPr>
      <w:r>
        <w:rPr>
          <w:rFonts w:hint="eastAsia" w:ascii="Times New Roman" w:hAnsi="Times New Roman" w:eastAsia="仿宋_GB2312" w:cs="Times New Roman"/>
          <w:kern w:val="0"/>
          <w:sz w:val="28"/>
          <w:szCs w:val="28"/>
          <w:lang w:val="en-US" w:eastAsia="zh-CN" w:bidi="ar-SA"/>
        </w:rPr>
        <w:t>附件1-2</w:t>
      </w:r>
    </w:p>
    <w:p>
      <w:pPr>
        <w:pStyle w:val="4"/>
        <w:keepNext w:val="0"/>
        <w:keepLines w:val="0"/>
        <w:pageBreakBefore w:val="0"/>
        <w:widowControl w:val="0"/>
        <w:kinsoku/>
        <w:wordWrap/>
        <w:overflowPunct/>
        <w:topLinePunct w:val="0"/>
        <w:autoSpaceDE/>
        <w:autoSpaceDN/>
        <w:bidi w:val="0"/>
        <w:adjustRightInd/>
        <w:spacing w:before="0" w:beforeAutospacing="0" w:after="0" w:afterAutospacing="0" w:line="540" w:lineRule="exact"/>
        <w:jc w:val="center"/>
        <w:textAlignment w:val="auto"/>
        <w:rPr>
          <w:rStyle w:val="7"/>
          <w:rFonts w:ascii="Times New Roman" w:hAnsi="Times New Roman" w:eastAsia="方正粗宋简体" w:cs="Times New Roman"/>
          <w:b w:val="0"/>
          <w:bCs w:val="0"/>
          <w:spacing w:val="-20"/>
          <w:sz w:val="44"/>
          <w:szCs w:val="44"/>
        </w:rPr>
      </w:pPr>
    </w:p>
    <w:p>
      <w:pPr>
        <w:pStyle w:val="4"/>
        <w:keepNext w:val="0"/>
        <w:keepLines w:val="0"/>
        <w:pageBreakBefore w:val="0"/>
        <w:widowControl w:val="0"/>
        <w:kinsoku/>
        <w:wordWrap/>
        <w:overflowPunct/>
        <w:topLinePunct w:val="0"/>
        <w:autoSpaceDE/>
        <w:autoSpaceDN/>
        <w:bidi w:val="0"/>
        <w:adjustRightInd/>
        <w:spacing w:before="0" w:beforeAutospacing="0" w:after="0" w:afterAutospacing="0" w:line="540" w:lineRule="exact"/>
        <w:jc w:val="center"/>
        <w:textAlignment w:val="auto"/>
        <w:rPr>
          <w:rStyle w:val="7"/>
          <w:rFonts w:ascii="Times New Roman" w:hAnsi="Times New Roman" w:eastAsia="方正粗宋简体" w:cs="Times New Roman"/>
          <w:b w:val="0"/>
          <w:bCs w:val="0"/>
          <w:spacing w:val="-20"/>
          <w:sz w:val="44"/>
          <w:szCs w:val="44"/>
        </w:rPr>
      </w:pPr>
      <w:r>
        <w:rPr>
          <w:rStyle w:val="7"/>
          <w:rFonts w:ascii="Times New Roman" w:hAnsi="Times New Roman" w:eastAsia="方正粗宋简体" w:cs="Times New Roman"/>
          <w:b w:val="0"/>
          <w:bCs w:val="0"/>
          <w:spacing w:val="-20"/>
          <w:sz w:val="44"/>
          <w:szCs w:val="44"/>
        </w:rPr>
        <w:t>20</w:t>
      </w:r>
      <w:r>
        <w:rPr>
          <w:rStyle w:val="7"/>
          <w:rFonts w:hint="eastAsia" w:ascii="Times New Roman" w:hAnsi="Times New Roman" w:eastAsia="方正粗宋简体" w:cs="Times New Roman"/>
          <w:b w:val="0"/>
          <w:bCs w:val="0"/>
          <w:spacing w:val="-20"/>
          <w:sz w:val="44"/>
          <w:szCs w:val="44"/>
        </w:rPr>
        <w:t>2</w:t>
      </w:r>
      <w:r>
        <w:rPr>
          <w:rStyle w:val="7"/>
          <w:rFonts w:hint="eastAsia" w:ascii="Times New Roman" w:hAnsi="Times New Roman" w:eastAsia="方正粗宋简体" w:cs="Times New Roman"/>
          <w:b w:val="0"/>
          <w:bCs w:val="0"/>
          <w:spacing w:val="-20"/>
          <w:sz w:val="44"/>
          <w:szCs w:val="44"/>
          <w:lang w:val="en-US" w:eastAsia="zh-CN"/>
        </w:rPr>
        <w:t>1</w:t>
      </w:r>
      <w:r>
        <w:rPr>
          <w:rStyle w:val="7"/>
          <w:rFonts w:ascii="Times New Roman" w:hAnsi="Times New Roman" w:eastAsia="方正粗宋简体" w:cs="Times New Roman"/>
          <w:b w:val="0"/>
          <w:bCs w:val="0"/>
          <w:spacing w:val="-20"/>
          <w:sz w:val="44"/>
          <w:szCs w:val="44"/>
        </w:rPr>
        <w:t>年度</w:t>
      </w:r>
      <w:r>
        <w:rPr>
          <w:rFonts w:hint="eastAsia" w:ascii="方正小标宋简体" w:eastAsia="方正小标宋简体"/>
          <w:sz w:val="44"/>
          <w:szCs w:val="44"/>
        </w:rPr>
        <w:t>文化旅游广电体育局</w:t>
      </w:r>
      <w:r>
        <w:rPr>
          <w:rStyle w:val="7"/>
          <w:rFonts w:ascii="Times New Roman" w:hAnsi="Times New Roman" w:eastAsia="方正粗宋简体" w:cs="Times New Roman"/>
          <w:b w:val="0"/>
          <w:bCs w:val="0"/>
          <w:spacing w:val="-20"/>
          <w:sz w:val="44"/>
          <w:szCs w:val="44"/>
        </w:rPr>
        <w:t>整</w:t>
      </w:r>
      <w:r>
        <w:rPr>
          <w:rStyle w:val="7"/>
          <w:rFonts w:hint="eastAsia" w:ascii="方正小标宋简体" w:hAnsi="Times New Roman" w:eastAsia="方正小标宋简体" w:cs="Times New Roman"/>
          <w:b w:val="0"/>
          <w:bCs w:val="0"/>
          <w:spacing w:val="-20"/>
          <w:sz w:val="44"/>
          <w:szCs w:val="44"/>
        </w:rPr>
        <w:t>体支出</w:t>
      </w:r>
      <w:r>
        <w:rPr>
          <w:rStyle w:val="7"/>
          <w:rFonts w:ascii="Times New Roman" w:hAnsi="Times New Roman" w:eastAsia="方正粗宋简体" w:cs="Times New Roman"/>
          <w:b w:val="0"/>
          <w:bCs w:val="0"/>
          <w:spacing w:val="-20"/>
          <w:sz w:val="44"/>
          <w:szCs w:val="44"/>
        </w:rPr>
        <w:t>绩效</w:t>
      </w:r>
      <w:r>
        <w:rPr>
          <w:rStyle w:val="7"/>
          <w:rFonts w:hint="eastAsia" w:ascii="Times New Roman" w:hAnsi="Times New Roman" w:eastAsia="方正粗宋简体" w:cs="Times New Roman"/>
          <w:b w:val="0"/>
          <w:bCs w:val="0"/>
          <w:spacing w:val="-20"/>
          <w:sz w:val="44"/>
          <w:szCs w:val="44"/>
        </w:rPr>
        <w:t xml:space="preserve">      </w:t>
      </w:r>
      <w:r>
        <w:rPr>
          <w:rStyle w:val="7"/>
          <w:rFonts w:ascii="Times New Roman" w:hAnsi="Times New Roman" w:eastAsia="方正粗宋简体" w:cs="Times New Roman"/>
          <w:b w:val="0"/>
          <w:bCs w:val="0"/>
          <w:spacing w:val="-20"/>
          <w:sz w:val="44"/>
          <w:szCs w:val="44"/>
        </w:rPr>
        <w:t>自</w:t>
      </w:r>
      <w:r>
        <w:rPr>
          <w:rStyle w:val="7"/>
          <w:rFonts w:hint="eastAsia" w:ascii="Times New Roman" w:hAnsi="Times New Roman" w:eastAsia="方正粗宋简体" w:cs="Times New Roman"/>
          <w:b w:val="0"/>
          <w:bCs w:val="0"/>
          <w:spacing w:val="-20"/>
          <w:sz w:val="44"/>
          <w:szCs w:val="44"/>
          <w:lang w:val="en-US" w:eastAsia="zh-CN"/>
        </w:rPr>
        <w:t xml:space="preserve">  </w:t>
      </w:r>
      <w:r>
        <w:rPr>
          <w:rStyle w:val="7"/>
          <w:rFonts w:ascii="Times New Roman" w:hAnsi="Times New Roman" w:eastAsia="方正粗宋简体" w:cs="Times New Roman"/>
          <w:b w:val="0"/>
          <w:bCs w:val="0"/>
          <w:spacing w:val="-20"/>
          <w:sz w:val="44"/>
          <w:szCs w:val="44"/>
        </w:rPr>
        <w:t>评</w:t>
      </w:r>
      <w:r>
        <w:rPr>
          <w:rStyle w:val="7"/>
          <w:rFonts w:hint="eastAsia" w:ascii="Times New Roman" w:hAnsi="Times New Roman" w:eastAsia="方正粗宋简体" w:cs="Times New Roman"/>
          <w:b w:val="0"/>
          <w:bCs w:val="0"/>
          <w:spacing w:val="-20"/>
          <w:sz w:val="44"/>
          <w:szCs w:val="44"/>
          <w:lang w:val="en-US" w:eastAsia="zh-CN"/>
        </w:rPr>
        <w:t xml:space="preserve">  </w:t>
      </w:r>
      <w:r>
        <w:rPr>
          <w:rStyle w:val="7"/>
          <w:rFonts w:ascii="Times New Roman" w:hAnsi="Times New Roman" w:eastAsia="方正粗宋简体" w:cs="Times New Roman"/>
          <w:b w:val="0"/>
          <w:bCs w:val="0"/>
          <w:spacing w:val="-20"/>
          <w:sz w:val="44"/>
          <w:szCs w:val="44"/>
        </w:rPr>
        <w:t>报</w:t>
      </w:r>
      <w:r>
        <w:rPr>
          <w:rStyle w:val="7"/>
          <w:rFonts w:hint="eastAsia" w:ascii="Times New Roman" w:hAnsi="Times New Roman" w:eastAsia="方正粗宋简体" w:cs="Times New Roman"/>
          <w:b w:val="0"/>
          <w:bCs w:val="0"/>
          <w:spacing w:val="-20"/>
          <w:sz w:val="44"/>
          <w:szCs w:val="44"/>
          <w:lang w:val="en-US" w:eastAsia="zh-CN"/>
        </w:rPr>
        <w:t xml:space="preserve">  </w:t>
      </w:r>
      <w:r>
        <w:rPr>
          <w:rStyle w:val="7"/>
          <w:rFonts w:ascii="Times New Roman" w:hAnsi="Times New Roman" w:eastAsia="方正粗宋简体" w:cs="Times New Roman"/>
          <w:b w:val="0"/>
          <w:bCs w:val="0"/>
          <w:spacing w:val="-20"/>
          <w:sz w:val="44"/>
          <w:szCs w:val="44"/>
        </w:rPr>
        <w:t>告</w:t>
      </w:r>
    </w:p>
    <w:p>
      <w:pPr>
        <w:keepNext w:val="0"/>
        <w:keepLines w:val="0"/>
        <w:pageBreakBefore w:val="0"/>
        <w:kinsoku/>
        <w:wordWrap/>
        <w:overflowPunct/>
        <w:topLinePunct w:val="0"/>
        <w:autoSpaceDE/>
        <w:autoSpaceDN/>
        <w:bidi w:val="0"/>
        <w:adjustRightInd/>
        <w:spacing w:line="540" w:lineRule="exact"/>
        <w:ind w:firstLine="420" w:firstLineChars="200"/>
        <w:jc w:val="left"/>
        <w:textAlignment w:val="auto"/>
      </w:pPr>
      <w:r>
        <w:t xml:space="preserve">   </w:t>
      </w:r>
    </w:p>
    <w:p>
      <w:pPr>
        <w:keepNext w:val="0"/>
        <w:keepLines w:val="0"/>
        <w:pageBreakBefore w:val="0"/>
        <w:kinsoku/>
        <w:wordWrap/>
        <w:overflowPunct/>
        <w:topLinePunct w:val="0"/>
        <w:autoSpaceDE/>
        <w:autoSpaceDN/>
        <w:bidi w:val="0"/>
        <w:adjustRightInd/>
        <w:spacing w:line="540" w:lineRule="exact"/>
        <w:ind w:firstLine="643" w:firstLineChars="200"/>
        <w:jc w:val="left"/>
        <w:textAlignment w:val="auto"/>
        <w:rPr>
          <w:rFonts w:hint="eastAsia" w:ascii="宋体" w:hAnsi="宋体" w:eastAsia="宋体" w:cs="宋体"/>
          <w:b/>
          <w:bCs/>
          <w:kern w:val="0"/>
          <w:sz w:val="32"/>
          <w:szCs w:val="32"/>
        </w:rPr>
      </w:pPr>
      <w:r>
        <w:rPr>
          <w:rFonts w:hint="eastAsia" w:ascii="宋体" w:hAnsi="宋体" w:eastAsia="宋体" w:cs="宋体"/>
          <w:b/>
          <w:bCs/>
          <w:kern w:val="0"/>
          <w:sz w:val="32"/>
          <w:szCs w:val="32"/>
        </w:rPr>
        <w:t>一、部门（单位）基本概况</w:t>
      </w:r>
    </w:p>
    <w:p>
      <w:pPr>
        <w:keepNext w:val="0"/>
        <w:keepLines w:val="0"/>
        <w:pageBreakBefore w:val="0"/>
        <w:widowControl/>
        <w:numPr>
          <w:ilvl w:val="0"/>
          <w:numId w:val="0"/>
        </w:numPr>
        <w:kinsoku/>
        <w:wordWrap/>
        <w:overflowPunct/>
        <w:topLinePunct w:val="0"/>
        <w:autoSpaceDE/>
        <w:autoSpaceDN/>
        <w:bidi w:val="0"/>
        <w:adjustRightInd/>
        <w:snapToGrid w:val="0"/>
        <w:spacing w:line="540" w:lineRule="exact"/>
        <w:ind w:firstLine="640" w:firstLineChars="200"/>
        <w:jc w:val="left"/>
        <w:textAlignment w:val="auto"/>
        <w:rPr>
          <w:rFonts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lang w:val="en-US" w:eastAsia="zh-CN"/>
        </w:rPr>
        <w:t>1、</w:t>
      </w:r>
      <w:r>
        <w:rPr>
          <w:rFonts w:hint="eastAsia" w:ascii="仿宋_GB2312" w:hAnsi="宋体" w:eastAsia="仿宋_GB2312" w:cs="宋体"/>
          <w:color w:val="333333"/>
          <w:kern w:val="0"/>
          <w:sz w:val="32"/>
          <w:szCs w:val="32"/>
        </w:rPr>
        <w:t>职能职责</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hint="eastAsia" w:ascii="仿宋_GB2312" w:hAnsi="宋体" w:eastAsia="仿宋_GB2312"/>
          <w:color w:val="000000" w:themeColor="text1"/>
          <w:sz w:val="32"/>
          <w:szCs w:val="32"/>
          <w:lang w:eastAsia="zh-CN"/>
          <w14:textFill>
            <w14:solidFill>
              <w14:schemeClr w14:val="tx1"/>
            </w14:solidFill>
          </w14:textFill>
        </w:rPr>
      </w:pPr>
      <w:r>
        <w:rPr>
          <w:rFonts w:hint="eastAsia" w:ascii="仿宋_GB2312" w:hAnsi="宋体" w:eastAsia="仿宋_GB2312"/>
          <w:color w:val="000000" w:themeColor="text1"/>
          <w:sz w:val="32"/>
          <w:szCs w:val="32"/>
          <w14:textFill>
            <w14:solidFill>
              <w14:schemeClr w14:val="tx1"/>
            </w14:solidFill>
          </w14:textFill>
        </w:rPr>
        <w:t>(一)贯彻党和国家有关文化、旅游、广播电视、体育工作方针、政策和法律、法规，拟订全县文化、旅游、广播电视、体育事业发展规划并指导实施，指导、推进全县文化、旅游、广播电视、体育、文物领域体制机制创新。</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hint="eastAsia" w:ascii="仿宋_GB2312" w:hAnsi="宋体" w:eastAsia="仿宋_GB2312"/>
          <w:color w:val="000000" w:themeColor="text1"/>
          <w:sz w:val="32"/>
          <w:szCs w:val="32"/>
          <w:lang w:eastAsia="zh-CN"/>
          <w14:textFill>
            <w14:solidFill>
              <w14:schemeClr w14:val="tx1"/>
            </w14:solidFill>
          </w14:textFill>
        </w:rPr>
      </w:pPr>
      <w:r>
        <w:rPr>
          <w:rFonts w:hint="eastAsia" w:ascii="仿宋_GB2312" w:hAnsi="宋体" w:eastAsia="仿宋_GB2312"/>
          <w:color w:val="000000" w:themeColor="text1"/>
          <w:sz w:val="32"/>
          <w:szCs w:val="32"/>
          <w14:textFill>
            <w14:solidFill>
              <w14:schemeClr w14:val="tx1"/>
            </w14:solidFill>
          </w14:textFill>
        </w:rPr>
        <w:t>(二)推进全县文化旅游广电体育领域的公共服务，规划、引导公共文化产品生产，统筹安排全县文化、旅游、广电、体育事业经费，指导全县重点文化旅游广电体育设施建设和基层文化旅游广电体育设施建设</w:t>
      </w:r>
      <w:r>
        <w:rPr>
          <w:rFonts w:hint="eastAsia" w:ascii="仿宋_GB2312" w:hAnsi="宋体" w:eastAsia="仿宋_GB2312"/>
          <w:color w:val="000000" w:themeColor="text1"/>
          <w:sz w:val="32"/>
          <w:szCs w:val="32"/>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14:textFill>
            <w14:solidFill>
              <w14:schemeClr w14:val="tx1"/>
            </w14:solidFill>
          </w14:textFill>
        </w:rPr>
        <w:t>(三)拟订全县文化旅游广电体育产业发展规划，指导、协调</w:t>
      </w:r>
      <w:r>
        <w:rPr>
          <w:rFonts w:hint="eastAsia" w:ascii="仿宋_GB2312" w:hAnsi="宋体" w:eastAsia="仿宋_GB2312"/>
          <w:color w:val="000000" w:themeColor="text1"/>
          <w:sz w:val="32"/>
          <w:szCs w:val="32"/>
          <w:lang w:eastAsia="zh-CN"/>
          <w14:textFill>
            <w14:solidFill>
              <w14:schemeClr w14:val="tx1"/>
            </w14:solidFill>
          </w14:textFill>
        </w:rPr>
        <w:t>全</w:t>
      </w:r>
      <w:r>
        <w:rPr>
          <w:rFonts w:hint="eastAsia" w:ascii="仿宋_GB2312" w:hAnsi="宋体" w:eastAsia="仿宋_GB2312"/>
          <w:color w:val="000000" w:themeColor="text1"/>
          <w:sz w:val="32"/>
          <w:szCs w:val="32"/>
          <w14:textFill>
            <w14:solidFill>
              <w14:schemeClr w14:val="tx1"/>
            </w14:solidFill>
          </w14:textFill>
        </w:rPr>
        <w:t>县文化旅游广由体育产业发</w:t>
      </w:r>
      <w:r>
        <w:rPr>
          <w:rFonts w:hint="eastAsia" w:ascii="仿宋_GB2312" w:hAnsi="宋体" w:eastAsia="仿宋_GB2312"/>
          <w:color w:val="000000" w:themeColor="text1"/>
          <w:sz w:val="32"/>
          <w:szCs w:val="32"/>
          <w:lang w:eastAsia="zh-CN"/>
          <w14:textFill>
            <w14:solidFill>
              <w14:schemeClr w14:val="tx1"/>
            </w14:solidFill>
          </w14:textFill>
        </w:rPr>
        <w:t>展</w:t>
      </w:r>
      <w:r>
        <w:rPr>
          <w:rFonts w:hint="eastAsia" w:ascii="仿宋_GB2312" w:hAnsi="宋体" w:eastAsia="仿宋_GB2312"/>
          <w:color w:val="000000" w:themeColor="text1"/>
          <w:sz w:val="32"/>
          <w:szCs w:val="32"/>
          <w:lang w:val="en-US" w:eastAsia="zh-CN"/>
          <w14:textFill>
            <w14:solidFill>
              <w14:schemeClr w14:val="tx1"/>
            </w14:solidFill>
          </w14:textFill>
        </w:rPr>
        <w:t>，推进文化旅游广电体育产业交流与合作。</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(四)指导全县文化艺术创作与生产，管理全县性重大文化活动，重点扶持代表性、示范性、实验性文化艺术品种和特色文艺院团，推动各门类艺术的发展。</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五)指导、管理全县文化艺术和体育事业，指导、管理全县图书馆、博物馆、文化馆(站)、体育馆事业和基层文化体育建设;指导非公有性文化旅游体育文物机构和文化艺术类、旅游类、体育类、文物类社会组织的业务工作。</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(六)指导推进全县文化旅游广电体育文物科技创新发展，推进文化旅游广电体育文物行业信息化、标准化建设。</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(七)负责全县物质与非物质文化遗产保护和优秀民族文化的挖掘抢救传承宣传研究工作。</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(八)指导全县文化、旅游、广电、体育、文物等市场发展，对文化旅游广电体育文物市场经营进行行业监管，推进文化旅游广电体育文物行业信用体系建设，依法规范文化旅游广电体育文物市场。</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九)组织、指导全县重要旅游产品的开发，促进和引导旅游业利用外资和社会投资工作;拟订全县国际旅游市场开发战略，组织全县旅游形象的对外宣传和重大推广活动;培育、完善和开拓国内旅游市场，拟订我县开拓旅游市场的措施并指导实施。</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hint="eastAsia" w:ascii="仿宋_GB2312" w:hAnsi="宋体" w:eastAsia="仿宋_GB2312"/>
          <w:color w:val="000000" w:themeColor="text1"/>
          <w:sz w:val="32"/>
          <w:szCs w:val="32"/>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 xml:space="preserve">(十)组织全县旅游资源的普查、规划、开发和相关保护工作，指导协调旅游区的规划编制和开发建设，引导休闲度假。监测全县旅游经济运行，负责旅游统计及行业信息发布。协调和指导全县假日旅游和红色旅游工作。 </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十-)承担规范旅游市场秩序、监督管理服务质量、维护旅游消费者和经营者合法权益的责任。规范旅游企业和从业人员的经营和服务行为。组织实施国家确定的各类旅游区(点)、旅游设施、旅游服务、旅游产品等方面的等级和标准，组织实施旅游饭店与旅行社星级标准和星级的初级评定。初审国内旅行社、分社、网点设立和经营范围变更。负责全县旅游安全的综合协调和监督管理，指导应急救援。指导旅游行业精神文明建设和诚信体系建设。加强对旅游市场实施监督管。</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十二)指导旅游教育、培训工作，制定并组织实施全县旅游人才规划，指导实施旅游从业人员的职业资格标准和等级标准。指导全县有关学校开展旅游教育的有关工作。联系和指导旅游社团机构建设和制度建设等工。</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十三)统筹规划群众体育发展，负责推行全民健身计划，指导群众性体育活动的开展，监督实施国家体育锻炼标准，推动国民体质监测和社会体育指导员工作队伍制度建设，指导公共体育设施建设，负责公共体育设施的监督管理。</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hint="eastAsia" w:ascii="仿宋_GB2312" w:hAnsi="宋体" w:eastAsia="仿宋_GB2312"/>
          <w:color w:val="000000" w:themeColor="text1"/>
          <w:sz w:val="32"/>
          <w:szCs w:val="32"/>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(十四)统筹规划竞技体育发展和青少年体育发展，负责制定全县体育竞赛项目设置和重点布局，组织管理体育训练、体育竞</w:t>
      </w:r>
      <w:bookmarkStart w:id="0" w:name="_GoBack"/>
      <w:bookmarkEnd w:id="0"/>
      <w:r>
        <w:rPr>
          <w:rFonts w:hint="eastAsia" w:ascii="仿宋_GB2312" w:hAnsi="宋体" w:eastAsia="仿宋_GB2312"/>
          <w:color w:val="000000" w:themeColor="text1"/>
          <w:sz w:val="32"/>
          <w:szCs w:val="32"/>
          <w:lang w:val="en-US" w:eastAsia="zh-CN"/>
          <w14:textFill>
            <w14:solidFill>
              <w14:schemeClr w14:val="tx1"/>
            </w14:solidFill>
          </w14:textFill>
        </w:rPr>
        <w:t xml:space="preserve">赛、运动队伍肆设，加强体育后备人才建设，推讲青少年体育工。 </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(十五)组织体育领域科学研究的攻关和成果推广，负责组织、协调、监督体育运动中的反兴奋剂工作。</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(十六)组织推进全县广播电视公共服务，负责全县广播电视、信息网络视听节目服务机构和业务的监管并实施准入和退出管理，对从事广播电视节目制作民办机构进行监管。</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(十七)指导、管理文化旅游广电体育行业对外及对港澳台交流、合作和宣传、推广工作。</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(十八)负责职责范围内文化旅游广电体育行业安全生产工作。</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hint="eastAsia" w:ascii="仿宋_GB2312" w:hAnsi="宋体" w:eastAsia="仿宋_GB2312"/>
          <w:color w:val="000000" w:themeColor="text1"/>
          <w:sz w:val="32"/>
          <w:szCs w:val="32"/>
          <w:lang w:val="en-US" w:eastAsia="zh-CN"/>
          <w14:textFill>
            <w14:solidFill>
              <w14:schemeClr w14:val="tx1"/>
            </w14:solidFill>
          </w14:textFill>
        </w:rPr>
      </w:pPr>
      <w:r>
        <w:rPr>
          <w:rFonts w:hint="eastAsia" w:ascii="仿宋_GB2312" w:hAnsi="宋体" w:eastAsia="仿宋_GB2312"/>
          <w:color w:val="000000" w:themeColor="text1"/>
          <w:sz w:val="32"/>
          <w:szCs w:val="32"/>
          <w:lang w:val="en-US" w:eastAsia="zh-CN"/>
          <w14:textFill>
            <w14:solidFill>
              <w14:schemeClr w14:val="tx1"/>
            </w14:solidFill>
          </w14:textFill>
        </w:rPr>
        <w:t>(十九)承办县委和县政府交办的其他任务。</w:t>
      </w:r>
    </w:p>
    <w:p>
      <w:pPr>
        <w:keepNext w:val="0"/>
        <w:keepLines w:val="0"/>
        <w:pageBreakBefore w:val="0"/>
        <w:widowControl/>
        <w:kinsoku/>
        <w:wordWrap/>
        <w:overflowPunct/>
        <w:topLinePunct w:val="0"/>
        <w:autoSpaceDE/>
        <w:autoSpaceDN/>
        <w:bidi w:val="0"/>
        <w:adjustRightInd/>
        <w:snapToGrid w:val="0"/>
        <w:spacing w:line="540" w:lineRule="exact"/>
        <w:ind w:firstLine="640" w:firstLineChars="200"/>
        <w:jc w:val="left"/>
        <w:textAlignment w:val="auto"/>
        <w:rPr>
          <w:rFonts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2、机构设置</w:t>
      </w:r>
    </w:p>
    <w:p>
      <w:pPr>
        <w:keepNext w:val="0"/>
        <w:keepLines w:val="0"/>
        <w:pageBreakBefore w:val="0"/>
        <w:kinsoku/>
        <w:wordWrap/>
        <w:overflowPunct/>
        <w:topLinePunct w:val="0"/>
        <w:autoSpaceDE/>
        <w:autoSpaceDN/>
        <w:bidi w:val="0"/>
        <w:adjustRightInd/>
        <w:spacing w:line="540" w:lineRule="exact"/>
        <w:ind w:firstLine="640" w:firstLineChars="200"/>
        <w:textAlignment w:val="auto"/>
        <w:rPr>
          <w:rFonts w:ascii="仿宋_GB2312" w:hAnsi="宋体" w:eastAsia="仿宋_GB2312"/>
          <w:color w:val="000000" w:themeColor="text1"/>
          <w:sz w:val="32"/>
          <w:szCs w:val="32"/>
          <w14:textFill>
            <w14:solidFill>
              <w14:schemeClr w14:val="tx1"/>
            </w14:solidFill>
          </w14:textFill>
        </w:rPr>
      </w:pPr>
      <w:r>
        <w:rPr>
          <w:rFonts w:hint="eastAsia" w:ascii="仿宋_GB2312" w:hAnsi="宋体" w:eastAsia="仿宋_GB2312"/>
          <w:color w:val="000000" w:themeColor="text1"/>
          <w:sz w:val="32"/>
          <w:szCs w:val="32"/>
          <w14:textFill>
            <w14:solidFill>
              <w14:schemeClr w14:val="tx1"/>
            </w14:solidFill>
          </w14:textFill>
        </w:rPr>
        <w:t>文化旅游广电体育局属全额拨款行政单位。机关行政编制8个、事业编制3个；下设二级机构9个，文化市场综合行政执法大队编制14名、旅游发展事务中心编制6名、老年人体育协会编制3名、少年儿童业余体育运动学校编制4名、、体育馆编制5名、非物质文化遗产保护中心编制5名、文化馆11名、图书馆8名、民族歌舞剧团12名（差额）。局机关现有在职人员23人、退休人员31人、提前退休人员4人。</w:t>
      </w:r>
    </w:p>
    <w:p>
      <w:pPr>
        <w:keepNext w:val="0"/>
        <w:keepLines w:val="0"/>
        <w:pageBreakBefore w:val="0"/>
        <w:kinsoku/>
        <w:wordWrap/>
        <w:overflowPunct/>
        <w:topLinePunct w:val="0"/>
        <w:autoSpaceDE/>
        <w:autoSpaceDN/>
        <w:bidi w:val="0"/>
        <w:adjustRightInd/>
        <w:spacing w:line="540" w:lineRule="exact"/>
        <w:ind w:firstLine="640" w:firstLineChars="200"/>
        <w:jc w:val="left"/>
        <w:textAlignment w:val="auto"/>
        <w:rPr>
          <w:rFonts w:ascii="仿宋_GB2312" w:eastAsia="仿宋_GB2312"/>
          <w:kern w:val="0"/>
          <w:sz w:val="32"/>
          <w:szCs w:val="32"/>
        </w:rPr>
      </w:pPr>
      <w:r>
        <w:rPr>
          <w:rFonts w:hint="eastAsia" w:ascii="仿宋_GB2312" w:eastAsia="仿宋_GB2312" w:hAnsiTheme="minorEastAsia"/>
          <w:sz w:val="32"/>
          <w:szCs w:val="32"/>
        </w:rPr>
        <w:t>202</w:t>
      </w:r>
      <w:r>
        <w:rPr>
          <w:rFonts w:hint="eastAsia" w:ascii="仿宋_GB2312" w:eastAsia="仿宋_GB2312" w:hAnsiTheme="minorEastAsia"/>
          <w:sz w:val="32"/>
          <w:szCs w:val="32"/>
          <w:lang w:val="en-US" w:eastAsia="zh-CN"/>
        </w:rPr>
        <w:t>1</w:t>
      </w:r>
      <w:r>
        <w:rPr>
          <w:rFonts w:hint="eastAsia" w:ascii="仿宋_GB2312" w:eastAsia="仿宋_GB2312" w:hAnsiTheme="minorEastAsia"/>
          <w:sz w:val="32"/>
          <w:szCs w:val="32"/>
        </w:rPr>
        <w:t>年我局决算收入</w:t>
      </w:r>
      <w:r>
        <w:rPr>
          <w:rFonts w:hint="eastAsia" w:ascii="仿宋_GB2312" w:eastAsia="仿宋_GB2312" w:hAnsiTheme="minorEastAsia"/>
          <w:sz w:val="32"/>
          <w:szCs w:val="32"/>
          <w:lang w:val="en-US" w:eastAsia="zh-CN"/>
        </w:rPr>
        <w:t>1232.78</w:t>
      </w:r>
      <w:r>
        <w:rPr>
          <w:rFonts w:hint="eastAsia" w:ascii="仿宋_GB2312" w:eastAsia="仿宋_GB2312" w:hAnsiTheme="minorEastAsia"/>
          <w:sz w:val="32"/>
          <w:szCs w:val="32"/>
        </w:rPr>
        <w:t>万元，支出</w:t>
      </w:r>
      <w:r>
        <w:rPr>
          <w:rFonts w:hint="eastAsia" w:ascii="仿宋_GB2312" w:eastAsia="仿宋_GB2312" w:hAnsiTheme="minorEastAsia"/>
          <w:sz w:val="32"/>
          <w:szCs w:val="32"/>
          <w:lang w:val="en-US" w:eastAsia="zh-CN"/>
        </w:rPr>
        <w:t>1288.28</w:t>
      </w:r>
      <w:r>
        <w:rPr>
          <w:rFonts w:hint="eastAsia" w:ascii="仿宋_GB2312" w:eastAsia="仿宋_GB2312" w:hAnsiTheme="minorEastAsia"/>
          <w:sz w:val="32"/>
          <w:szCs w:val="32"/>
        </w:rPr>
        <w:t>万元，上年结余</w:t>
      </w:r>
      <w:r>
        <w:rPr>
          <w:rFonts w:hint="eastAsia" w:ascii="仿宋_GB2312" w:eastAsia="仿宋_GB2312" w:hAnsiTheme="minorEastAsia"/>
          <w:sz w:val="32"/>
          <w:szCs w:val="32"/>
          <w:lang w:val="en-US" w:eastAsia="zh-CN"/>
        </w:rPr>
        <w:t>386.79</w:t>
      </w:r>
      <w:r>
        <w:rPr>
          <w:rFonts w:hint="eastAsia" w:ascii="仿宋_GB2312" w:eastAsia="仿宋_GB2312" w:hAnsiTheme="minorEastAsia"/>
          <w:sz w:val="32"/>
          <w:szCs w:val="32"/>
        </w:rPr>
        <w:t>万元，年末结余</w:t>
      </w:r>
      <w:r>
        <w:rPr>
          <w:rFonts w:hint="eastAsia" w:ascii="仿宋_GB2312" w:eastAsia="仿宋_GB2312" w:hAnsiTheme="minorEastAsia"/>
          <w:sz w:val="32"/>
          <w:szCs w:val="32"/>
          <w:lang w:val="en-US" w:eastAsia="zh-CN"/>
        </w:rPr>
        <w:t>331.29</w:t>
      </w:r>
      <w:r>
        <w:rPr>
          <w:rFonts w:hint="eastAsia" w:ascii="仿宋_GB2312" w:eastAsia="仿宋_GB2312" w:hAnsiTheme="minorEastAsia"/>
          <w:sz w:val="32"/>
          <w:szCs w:val="32"/>
        </w:rPr>
        <w:t>万元。</w:t>
      </w:r>
      <w:r>
        <w:rPr>
          <w:rFonts w:eastAsia="仿宋_GB2312"/>
          <w:kern w:val="0"/>
          <w:sz w:val="32"/>
          <w:szCs w:val="32"/>
        </w:rPr>
        <w:t>年末固定资产</w:t>
      </w:r>
      <w:r>
        <w:rPr>
          <w:rFonts w:hint="eastAsia" w:eastAsia="仿宋_GB2312"/>
          <w:kern w:val="0"/>
          <w:sz w:val="32"/>
          <w:szCs w:val="32"/>
          <w:lang w:val="en-US" w:eastAsia="zh-CN"/>
        </w:rPr>
        <w:t>132.3</w:t>
      </w:r>
      <w:r>
        <w:rPr>
          <w:rFonts w:hint="eastAsia" w:eastAsia="仿宋_GB2312"/>
          <w:kern w:val="0"/>
          <w:sz w:val="32"/>
          <w:szCs w:val="32"/>
        </w:rPr>
        <w:t>万元</w:t>
      </w:r>
      <w:r>
        <w:rPr>
          <w:rFonts w:eastAsia="仿宋_GB2312"/>
          <w:kern w:val="0"/>
          <w:sz w:val="32"/>
          <w:szCs w:val="32"/>
        </w:rPr>
        <w:t>，</w:t>
      </w:r>
      <w:r>
        <w:rPr>
          <w:rFonts w:hint="eastAsia" w:ascii="仿宋_GB2312" w:eastAsia="仿宋_GB2312"/>
          <w:kern w:val="0"/>
          <w:sz w:val="32"/>
          <w:szCs w:val="32"/>
        </w:rPr>
        <w:t>其中：房屋及构筑物</w:t>
      </w:r>
      <w:r>
        <w:rPr>
          <w:rFonts w:hint="eastAsia" w:ascii="仿宋_GB2312" w:eastAsia="仿宋_GB2312"/>
          <w:kern w:val="0"/>
          <w:sz w:val="32"/>
          <w:szCs w:val="32"/>
          <w:lang w:val="en-US" w:eastAsia="zh-CN"/>
        </w:rPr>
        <w:t>12.77</w:t>
      </w:r>
      <w:r>
        <w:rPr>
          <w:rFonts w:hint="eastAsia" w:ascii="仿宋_GB2312" w:eastAsia="仿宋_GB2312"/>
          <w:kern w:val="0"/>
          <w:sz w:val="32"/>
          <w:szCs w:val="32"/>
        </w:rPr>
        <w:t>万元、专用设备10.55万元、通用设备</w:t>
      </w:r>
      <w:r>
        <w:rPr>
          <w:rFonts w:hint="eastAsia" w:ascii="仿宋_GB2312" w:eastAsia="仿宋_GB2312"/>
          <w:kern w:val="0"/>
          <w:sz w:val="32"/>
          <w:szCs w:val="32"/>
          <w:lang w:val="en-US" w:eastAsia="zh-CN"/>
        </w:rPr>
        <w:t>99.88</w:t>
      </w:r>
      <w:r>
        <w:rPr>
          <w:rFonts w:hint="eastAsia" w:ascii="仿宋_GB2312" w:eastAsia="仿宋_GB2312"/>
          <w:kern w:val="0"/>
          <w:sz w:val="32"/>
          <w:szCs w:val="32"/>
        </w:rPr>
        <w:t>万元、家具用具</w:t>
      </w:r>
      <w:r>
        <w:rPr>
          <w:rFonts w:hint="eastAsia" w:ascii="仿宋_GB2312" w:eastAsia="仿宋_GB2312"/>
          <w:kern w:val="0"/>
          <w:sz w:val="32"/>
          <w:szCs w:val="32"/>
          <w:lang w:val="en-US" w:eastAsia="zh-CN"/>
        </w:rPr>
        <w:t>9.1</w:t>
      </w:r>
      <w:r>
        <w:rPr>
          <w:rFonts w:hint="eastAsia" w:ascii="仿宋_GB2312" w:eastAsia="仿宋_GB2312"/>
          <w:kern w:val="0"/>
          <w:sz w:val="32"/>
          <w:szCs w:val="32"/>
        </w:rPr>
        <w:t>万元。</w:t>
      </w:r>
    </w:p>
    <w:p>
      <w:pPr>
        <w:keepNext w:val="0"/>
        <w:keepLines w:val="0"/>
        <w:pageBreakBefore w:val="0"/>
        <w:kinsoku/>
        <w:wordWrap/>
        <w:overflowPunct/>
        <w:topLinePunct w:val="0"/>
        <w:autoSpaceDE/>
        <w:autoSpaceDN/>
        <w:bidi w:val="0"/>
        <w:adjustRightInd/>
        <w:spacing w:line="540" w:lineRule="exact"/>
        <w:ind w:firstLine="643" w:firstLineChars="200"/>
        <w:jc w:val="left"/>
        <w:textAlignment w:val="auto"/>
        <w:rPr>
          <w:rFonts w:hint="eastAsia" w:ascii="宋体" w:hAnsi="宋体" w:eastAsia="宋体" w:cs="宋体"/>
          <w:b/>
          <w:bCs/>
          <w:kern w:val="0"/>
          <w:sz w:val="32"/>
          <w:szCs w:val="32"/>
        </w:rPr>
      </w:pPr>
      <w:r>
        <w:rPr>
          <w:rFonts w:hint="eastAsia" w:ascii="宋体" w:hAnsi="宋体" w:eastAsia="宋体" w:cs="宋体"/>
          <w:b/>
          <w:bCs/>
          <w:kern w:val="0"/>
          <w:sz w:val="32"/>
          <w:szCs w:val="32"/>
        </w:rPr>
        <w:t>二、部门（单位）整体支出绩效状况</w:t>
      </w:r>
    </w:p>
    <w:p>
      <w:pPr>
        <w:keepNext w:val="0"/>
        <w:keepLines w:val="0"/>
        <w:pageBreakBefore w:val="0"/>
        <w:kinsoku/>
        <w:wordWrap/>
        <w:overflowPunct/>
        <w:topLinePunct w:val="0"/>
        <w:autoSpaceDE/>
        <w:autoSpaceDN/>
        <w:bidi w:val="0"/>
        <w:adjustRightInd/>
        <w:spacing w:line="540" w:lineRule="exact"/>
        <w:ind w:firstLine="640" w:firstLineChars="200"/>
        <w:jc w:val="left"/>
        <w:textAlignment w:val="auto"/>
        <w:rPr>
          <w:rFonts w:hint="eastAsia" w:ascii="仿宋_GB2312" w:eastAsia="仿宋_GB2312"/>
          <w:kern w:val="0"/>
          <w:sz w:val="32"/>
          <w:szCs w:val="32"/>
        </w:rPr>
      </w:pPr>
      <w:r>
        <w:rPr>
          <w:rFonts w:hint="eastAsia" w:ascii="仿宋_GB2312" w:eastAsia="仿宋_GB2312"/>
          <w:kern w:val="0"/>
          <w:sz w:val="32"/>
          <w:szCs w:val="32"/>
        </w:rPr>
        <w:t>（一）、202</w:t>
      </w:r>
      <w:r>
        <w:rPr>
          <w:rFonts w:hint="eastAsia" w:ascii="仿宋_GB2312" w:eastAsia="仿宋_GB2312"/>
          <w:kern w:val="0"/>
          <w:sz w:val="32"/>
          <w:szCs w:val="32"/>
          <w:lang w:val="en-US" w:eastAsia="zh-CN"/>
        </w:rPr>
        <w:t>1</w:t>
      </w:r>
      <w:r>
        <w:rPr>
          <w:rFonts w:hint="eastAsia" w:ascii="仿宋_GB2312" w:eastAsia="仿宋_GB2312"/>
          <w:kern w:val="0"/>
          <w:sz w:val="32"/>
          <w:szCs w:val="32"/>
        </w:rPr>
        <w:t>年部门决算收支完成情况。</w:t>
      </w:r>
    </w:p>
    <w:p>
      <w:pPr>
        <w:keepNext w:val="0"/>
        <w:keepLines w:val="0"/>
        <w:pageBreakBefore w:val="0"/>
        <w:kinsoku/>
        <w:wordWrap/>
        <w:overflowPunct/>
        <w:topLinePunct w:val="0"/>
        <w:autoSpaceDE/>
        <w:autoSpaceDN/>
        <w:bidi w:val="0"/>
        <w:adjustRightInd/>
        <w:spacing w:line="540" w:lineRule="exact"/>
        <w:ind w:firstLine="640" w:firstLineChars="200"/>
        <w:jc w:val="left"/>
        <w:textAlignment w:val="auto"/>
        <w:rPr>
          <w:rFonts w:hint="eastAsia" w:ascii="仿宋_GB2312" w:eastAsia="仿宋_GB2312"/>
          <w:kern w:val="0"/>
          <w:sz w:val="32"/>
          <w:szCs w:val="32"/>
        </w:rPr>
      </w:pPr>
      <w:r>
        <w:rPr>
          <w:rFonts w:hint="eastAsia" w:ascii="仿宋_GB2312" w:eastAsia="仿宋_GB2312"/>
          <w:kern w:val="0"/>
          <w:sz w:val="32"/>
          <w:szCs w:val="32"/>
        </w:rPr>
        <w:t>1、收入：</w:t>
      </w:r>
      <w:r>
        <w:rPr>
          <w:rFonts w:hint="eastAsia" w:ascii="仿宋_GB2312" w:eastAsia="仿宋_GB2312"/>
          <w:kern w:val="0"/>
          <w:sz w:val="32"/>
          <w:szCs w:val="32"/>
          <w:lang w:val="en-US" w:eastAsia="zh-CN"/>
        </w:rPr>
        <w:t>1232.78</w:t>
      </w:r>
      <w:r>
        <w:rPr>
          <w:rFonts w:hint="eastAsia" w:ascii="仿宋_GB2312" w:eastAsia="仿宋_GB2312"/>
          <w:kern w:val="0"/>
          <w:sz w:val="32"/>
          <w:szCs w:val="32"/>
        </w:rPr>
        <w:t>万元。</w:t>
      </w:r>
    </w:p>
    <w:p>
      <w:pPr>
        <w:keepNext w:val="0"/>
        <w:keepLines w:val="0"/>
        <w:pageBreakBefore w:val="0"/>
        <w:kinsoku/>
        <w:wordWrap/>
        <w:overflowPunct/>
        <w:topLinePunct w:val="0"/>
        <w:autoSpaceDE/>
        <w:autoSpaceDN/>
        <w:bidi w:val="0"/>
        <w:adjustRightInd/>
        <w:spacing w:line="540" w:lineRule="exact"/>
        <w:ind w:firstLine="640" w:firstLineChars="200"/>
        <w:jc w:val="left"/>
        <w:textAlignment w:val="auto"/>
        <w:rPr>
          <w:rFonts w:hint="eastAsia" w:ascii="仿宋_GB2312" w:eastAsia="仿宋_GB2312"/>
          <w:kern w:val="0"/>
          <w:sz w:val="32"/>
          <w:szCs w:val="32"/>
        </w:rPr>
      </w:pPr>
      <w:r>
        <w:rPr>
          <w:rFonts w:hint="eastAsia" w:ascii="仿宋_GB2312" w:eastAsia="仿宋_GB2312"/>
          <w:kern w:val="0"/>
          <w:sz w:val="32"/>
          <w:szCs w:val="32"/>
        </w:rPr>
        <w:t>其中，一般公共预算财政拨款收入11</w:t>
      </w:r>
      <w:r>
        <w:rPr>
          <w:rFonts w:hint="eastAsia" w:ascii="仿宋_GB2312" w:eastAsia="仿宋_GB2312"/>
          <w:kern w:val="0"/>
          <w:sz w:val="32"/>
          <w:szCs w:val="32"/>
          <w:lang w:val="en-US" w:eastAsia="zh-CN"/>
        </w:rPr>
        <w:t>14.91</w:t>
      </w:r>
      <w:r>
        <w:rPr>
          <w:rFonts w:hint="eastAsia" w:ascii="仿宋_GB2312" w:eastAsia="仿宋_GB2312"/>
          <w:kern w:val="0"/>
          <w:sz w:val="32"/>
          <w:szCs w:val="32"/>
        </w:rPr>
        <w:t>万元，政府性基金预算财政拨款收入</w:t>
      </w:r>
      <w:r>
        <w:rPr>
          <w:rFonts w:hint="eastAsia" w:ascii="仿宋_GB2312" w:eastAsia="仿宋_GB2312"/>
          <w:kern w:val="0"/>
          <w:sz w:val="32"/>
          <w:szCs w:val="32"/>
          <w:lang w:val="en-US" w:eastAsia="zh-CN"/>
        </w:rPr>
        <w:t>117.87</w:t>
      </w:r>
      <w:r>
        <w:rPr>
          <w:rFonts w:hint="eastAsia" w:ascii="仿宋_GB2312" w:eastAsia="仿宋_GB2312"/>
          <w:kern w:val="0"/>
          <w:sz w:val="32"/>
          <w:szCs w:val="32"/>
        </w:rPr>
        <w:t>万元，年初结转和结余</w:t>
      </w:r>
      <w:r>
        <w:rPr>
          <w:rFonts w:hint="eastAsia" w:ascii="仿宋_GB2312" w:eastAsia="仿宋_GB2312"/>
          <w:kern w:val="0"/>
          <w:sz w:val="32"/>
          <w:szCs w:val="32"/>
          <w:lang w:val="en-US" w:eastAsia="zh-CN"/>
        </w:rPr>
        <w:t>386.79</w:t>
      </w:r>
      <w:r>
        <w:rPr>
          <w:rFonts w:hint="eastAsia" w:ascii="仿宋_GB2312" w:eastAsia="仿宋_GB2312"/>
          <w:kern w:val="0"/>
          <w:sz w:val="32"/>
          <w:szCs w:val="32"/>
        </w:rPr>
        <w:t>万元。</w:t>
      </w:r>
    </w:p>
    <w:p>
      <w:pPr>
        <w:keepNext w:val="0"/>
        <w:keepLines w:val="0"/>
        <w:pageBreakBefore w:val="0"/>
        <w:kinsoku/>
        <w:wordWrap/>
        <w:overflowPunct/>
        <w:topLinePunct w:val="0"/>
        <w:autoSpaceDE/>
        <w:autoSpaceDN/>
        <w:bidi w:val="0"/>
        <w:adjustRightInd/>
        <w:spacing w:line="540" w:lineRule="exact"/>
        <w:ind w:firstLine="640" w:firstLineChars="200"/>
        <w:jc w:val="left"/>
        <w:textAlignment w:val="auto"/>
        <w:rPr>
          <w:rFonts w:hint="eastAsia" w:ascii="仿宋_GB2312" w:eastAsia="仿宋_GB2312"/>
          <w:kern w:val="0"/>
          <w:sz w:val="32"/>
          <w:szCs w:val="32"/>
        </w:rPr>
      </w:pPr>
      <w:r>
        <w:rPr>
          <w:rFonts w:hint="eastAsia" w:ascii="仿宋_GB2312" w:eastAsia="仿宋_GB2312"/>
          <w:kern w:val="0"/>
          <w:sz w:val="32"/>
          <w:szCs w:val="32"/>
        </w:rPr>
        <w:t>2、支出：</w:t>
      </w:r>
      <w:r>
        <w:rPr>
          <w:rFonts w:hint="eastAsia" w:ascii="仿宋_GB2312" w:eastAsia="仿宋_GB2312"/>
          <w:kern w:val="0"/>
          <w:sz w:val="32"/>
          <w:szCs w:val="32"/>
          <w:lang w:val="en-US" w:eastAsia="zh-CN"/>
        </w:rPr>
        <w:t>1288.28</w:t>
      </w:r>
      <w:r>
        <w:rPr>
          <w:rFonts w:hint="eastAsia" w:ascii="仿宋_GB2312" w:eastAsia="仿宋_GB2312"/>
          <w:kern w:val="0"/>
          <w:sz w:val="32"/>
          <w:szCs w:val="32"/>
        </w:rPr>
        <w:t>万元。</w:t>
      </w:r>
    </w:p>
    <w:p>
      <w:pPr>
        <w:keepNext w:val="0"/>
        <w:keepLines w:val="0"/>
        <w:pageBreakBefore w:val="0"/>
        <w:kinsoku/>
        <w:wordWrap/>
        <w:overflowPunct/>
        <w:topLinePunct w:val="0"/>
        <w:autoSpaceDE/>
        <w:autoSpaceDN/>
        <w:bidi w:val="0"/>
        <w:adjustRightInd/>
        <w:spacing w:line="540" w:lineRule="exact"/>
        <w:ind w:firstLine="640" w:firstLineChars="200"/>
        <w:jc w:val="left"/>
        <w:textAlignment w:val="auto"/>
        <w:rPr>
          <w:rFonts w:hint="eastAsia" w:ascii="仿宋_GB2312" w:eastAsia="仿宋_GB2312"/>
          <w:kern w:val="0"/>
          <w:sz w:val="32"/>
          <w:szCs w:val="32"/>
        </w:rPr>
      </w:pPr>
      <w:r>
        <w:rPr>
          <w:rFonts w:hint="eastAsia" w:ascii="仿宋_GB2312" w:eastAsia="仿宋_GB2312"/>
          <w:kern w:val="0"/>
          <w:sz w:val="32"/>
          <w:szCs w:val="32"/>
        </w:rPr>
        <w:t>其中，基本支出</w:t>
      </w:r>
      <w:r>
        <w:rPr>
          <w:rFonts w:hint="eastAsia" w:ascii="仿宋_GB2312" w:eastAsia="仿宋_GB2312"/>
          <w:kern w:val="0"/>
          <w:sz w:val="32"/>
          <w:szCs w:val="32"/>
          <w:lang w:val="en-US" w:eastAsia="zh-CN"/>
        </w:rPr>
        <w:t>744.62</w:t>
      </w:r>
      <w:r>
        <w:rPr>
          <w:rFonts w:hint="eastAsia" w:ascii="仿宋_GB2312" w:eastAsia="仿宋_GB2312"/>
          <w:kern w:val="0"/>
          <w:sz w:val="32"/>
          <w:szCs w:val="32"/>
        </w:rPr>
        <w:t>万元，项目支出</w:t>
      </w:r>
      <w:r>
        <w:rPr>
          <w:rFonts w:hint="eastAsia" w:ascii="仿宋_GB2312" w:eastAsia="仿宋_GB2312"/>
          <w:kern w:val="0"/>
          <w:sz w:val="32"/>
          <w:szCs w:val="32"/>
          <w:lang w:val="en-US" w:eastAsia="zh-CN"/>
        </w:rPr>
        <w:t>543.66</w:t>
      </w:r>
      <w:r>
        <w:rPr>
          <w:rFonts w:hint="eastAsia" w:ascii="仿宋_GB2312" w:eastAsia="仿宋_GB2312"/>
          <w:kern w:val="0"/>
          <w:sz w:val="32"/>
          <w:szCs w:val="32"/>
        </w:rPr>
        <w:t>万元。</w:t>
      </w:r>
    </w:p>
    <w:p>
      <w:pPr>
        <w:keepNext w:val="0"/>
        <w:keepLines w:val="0"/>
        <w:pageBreakBefore w:val="0"/>
        <w:kinsoku/>
        <w:wordWrap/>
        <w:overflowPunct/>
        <w:topLinePunct w:val="0"/>
        <w:autoSpaceDE/>
        <w:autoSpaceDN/>
        <w:bidi w:val="0"/>
        <w:adjustRightInd/>
        <w:spacing w:line="540" w:lineRule="exact"/>
        <w:ind w:firstLine="640" w:firstLineChars="200"/>
        <w:jc w:val="left"/>
        <w:textAlignment w:val="auto"/>
        <w:rPr>
          <w:rFonts w:hint="eastAsia" w:ascii="仿宋_GB2312" w:eastAsia="仿宋_GB2312"/>
          <w:kern w:val="0"/>
          <w:sz w:val="32"/>
          <w:szCs w:val="32"/>
        </w:rPr>
      </w:pPr>
      <w:r>
        <w:rPr>
          <w:rFonts w:hint="eastAsia" w:ascii="仿宋_GB2312" w:eastAsia="仿宋_GB2312"/>
          <w:kern w:val="0"/>
          <w:sz w:val="32"/>
          <w:szCs w:val="32"/>
        </w:rPr>
        <w:t>3、年终结余</w:t>
      </w:r>
      <w:r>
        <w:rPr>
          <w:rFonts w:hint="eastAsia" w:ascii="仿宋_GB2312" w:eastAsia="仿宋_GB2312"/>
          <w:kern w:val="0"/>
          <w:sz w:val="32"/>
          <w:szCs w:val="32"/>
          <w:lang w:val="en-US" w:eastAsia="zh-CN"/>
        </w:rPr>
        <w:t>331.29</w:t>
      </w:r>
      <w:r>
        <w:rPr>
          <w:rFonts w:hint="eastAsia" w:ascii="仿宋_GB2312" w:eastAsia="仿宋_GB2312"/>
          <w:kern w:val="0"/>
          <w:sz w:val="32"/>
          <w:szCs w:val="32"/>
        </w:rPr>
        <w:t>万元。</w:t>
      </w:r>
    </w:p>
    <w:p>
      <w:pPr>
        <w:keepNext w:val="0"/>
        <w:keepLines w:val="0"/>
        <w:pageBreakBefore w:val="0"/>
        <w:widowControl/>
        <w:shd w:val="clear" w:color="auto" w:fill="FFFFFF"/>
        <w:kinsoku/>
        <w:wordWrap/>
        <w:overflowPunct/>
        <w:topLinePunct w:val="0"/>
        <w:autoSpaceDE/>
        <w:autoSpaceDN/>
        <w:bidi w:val="0"/>
        <w:adjustRightInd/>
        <w:spacing w:line="540" w:lineRule="exact"/>
        <w:ind w:firstLine="640" w:firstLineChars="200"/>
        <w:jc w:val="left"/>
        <w:textAlignment w:val="auto"/>
        <w:rPr>
          <w:rFonts w:ascii="仿宋_GB2312" w:hAnsi="Helvetica" w:eastAsia="仿宋_GB2312" w:cs="宋体"/>
          <w:color w:val="333333"/>
          <w:kern w:val="0"/>
          <w:sz w:val="32"/>
          <w:szCs w:val="32"/>
        </w:rPr>
      </w:pPr>
      <w:r>
        <w:rPr>
          <w:rFonts w:hint="eastAsia" w:ascii="仿宋_GB2312" w:hAnsi="宋体" w:eastAsia="仿宋_GB2312" w:cs="宋体"/>
          <w:color w:val="000000"/>
          <w:kern w:val="0"/>
          <w:sz w:val="32"/>
          <w:szCs w:val="32"/>
          <w:shd w:val="clear" w:color="auto" w:fill="FFFFFF"/>
        </w:rPr>
        <w:t>（二）、专项资金实际使用情况分析</w:t>
      </w:r>
    </w:p>
    <w:p>
      <w:pPr>
        <w:keepNext w:val="0"/>
        <w:keepLines w:val="0"/>
        <w:pageBreakBefore w:val="0"/>
        <w:widowControl/>
        <w:shd w:val="clear" w:color="auto" w:fill="FFFFFF"/>
        <w:kinsoku/>
        <w:wordWrap/>
        <w:overflowPunct/>
        <w:topLinePunct w:val="0"/>
        <w:autoSpaceDE/>
        <w:autoSpaceDN/>
        <w:bidi w:val="0"/>
        <w:adjustRightInd/>
        <w:spacing w:line="540" w:lineRule="exact"/>
        <w:ind w:firstLine="640" w:firstLineChars="200"/>
        <w:jc w:val="left"/>
        <w:textAlignment w:val="auto"/>
        <w:rPr>
          <w:rFonts w:ascii="仿宋_GB2312" w:hAnsi="Helvetica" w:eastAsia="仿宋_GB2312" w:cs="宋体"/>
          <w:color w:val="333333"/>
          <w:kern w:val="0"/>
          <w:sz w:val="32"/>
          <w:szCs w:val="32"/>
        </w:rPr>
      </w:pPr>
      <w:r>
        <w:rPr>
          <w:rFonts w:hint="eastAsia" w:ascii="仿宋_GB2312" w:hAnsi="宋体" w:eastAsia="仿宋_GB2312" w:cs="宋体"/>
          <w:color w:val="000000"/>
          <w:kern w:val="0"/>
          <w:sz w:val="32"/>
          <w:szCs w:val="32"/>
          <w:shd w:val="clear" w:color="auto" w:fill="FFFFFF"/>
        </w:rPr>
        <w:t>202</w:t>
      </w:r>
      <w:r>
        <w:rPr>
          <w:rFonts w:hint="eastAsia" w:ascii="仿宋_GB2312" w:hAnsi="宋体" w:eastAsia="仿宋_GB2312" w:cs="宋体"/>
          <w:color w:val="000000"/>
          <w:kern w:val="0"/>
          <w:sz w:val="32"/>
          <w:szCs w:val="32"/>
          <w:shd w:val="clear" w:color="auto" w:fill="FFFFFF"/>
          <w:lang w:val="en-US" w:eastAsia="zh-CN"/>
        </w:rPr>
        <w:t>1</w:t>
      </w:r>
      <w:r>
        <w:rPr>
          <w:rFonts w:hint="eastAsia" w:ascii="仿宋_GB2312" w:hAnsi="宋体" w:eastAsia="仿宋_GB2312" w:cs="宋体"/>
          <w:color w:val="000000"/>
          <w:kern w:val="0"/>
          <w:sz w:val="32"/>
          <w:szCs w:val="32"/>
          <w:shd w:val="clear" w:color="auto" w:fill="FFFFFF"/>
        </w:rPr>
        <w:t>年项目支出投入</w:t>
      </w:r>
      <w:r>
        <w:rPr>
          <w:rFonts w:hint="eastAsia" w:ascii="仿宋_GB2312" w:hAnsi="宋体" w:eastAsia="仿宋_GB2312" w:cs="宋体"/>
          <w:color w:val="000000"/>
          <w:kern w:val="0"/>
          <w:sz w:val="32"/>
          <w:szCs w:val="32"/>
          <w:shd w:val="clear" w:color="auto" w:fill="FFFFFF"/>
          <w:lang w:val="en-US" w:eastAsia="zh-CN"/>
        </w:rPr>
        <w:t>543.66</w:t>
      </w:r>
      <w:r>
        <w:rPr>
          <w:rFonts w:hint="eastAsia" w:ascii="仿宋_GB2312" w:hAnsi="宋体" w:eastAsia="仿宋_GB2312" w:cs="宋体"/>
          <w:color w:val="000000"/>
          <w:kern w:val="0"/>
          <w:sz w:val="32"/>
          <w:szCs w:val="32"/>
          <w:shd w:val="clear" w:color="auto" w:fill="FFFFFF"/>
        </w:rPr>
        <w:t>万元，年初预算数</w:t>
      </w:r>
      <w:r>
        <w:rPr>
          <w:rFonts w:hint="eastAsia" w:ascii="仿宋_GB2312" w:hAnsi="宋体" w:eastAsia="仿宋_GB2312" w:cs="宋体"/>
          <w:color w:val="000000"/>
          <w:kern w:val="0"/>
          <w:sz w:val="32"/>
          <w:szCs w:val="32"/>
          <w:shd w:val="clear" w:color="auto" w:fill="FFFFFF"/>
          <w:lang w:val="en-US" w:eastAsia="zh-CN"/>
        </w:rPr>
        <w:t>745.5</w:t>
      </w:r>
      <w:r>
        <w:rPr>
          <w:rFonts w:hint="eastAsia" w:ascii="仿宋_GB2312" w:hAnsi="宋体" w:eastAsia="仿宋_GB2312" w:cs="宋体"/>
          <w:color w:val="000000"/>
          <w:kern w:val="0"/>
          <w:sz w:val="32"/>
          <w:szCs w:val="32"/>
          <w:shd w:val="clear" w:color="auto" w:fill="FFFFFF"/>
        </w:rPr>
        <w:t>万元。主要项目支出是</w:t>
      </w:r>
      <w:r>
        <w:rPr>
          <w:rFonts w:hint="eastAsia" w:ascii="仿宋_GB2312" w:hAnsi="宋体" w:eastAsia="仿宋_GB2312" w:cs="宋体"/>
          <w:color w:val="000000"/>
          <w:kern w:val="0"/>
          <w:sz w:val="32"/>
          <w:szCs w:val="32"/>
          <w:shd w:val="clear" w:color="auto" w:fill="FFFFFF"/>
          <w:lang w:val="en-US" w:eastAsia="zh-CN"/>
        </w:rPr>
        <w:t>1、</w:t>
      </w:r>
      <w:r>
        <w:rPr>
          <w:rFonts w:hint="eastAsia" w:ascii="仿宋_GB2312" w:hAnsi="宋体" w:eastAsia="仿宋_GB2312" w:cs="宋体"/>
          <w:color w:val="000000"/>
          <w:kern w:val="0"/>
          <w:sz w:val="32"/>
          <w:szCs w:val="32"/>
          <w:shd w:val="clear" w:color="auto" w:fill="FFFFFF"/>
          <w:lang w:eastAsia="zh-CN"/>
        </w:rPr>
        <w:t>扶贫</w:t>
      </w:r>
      <w:r>
        <w:rPr>
          <w:rFonts w:hint="eastAsia" w:ascii="仿宋_GB2312" w:hAnsi="宋体" w:eastAsia="仿宋_GB2312" w:cs="宋体"/>
          <w:color w:val="000000"/>
          <w:kern w:val="0"/>
          <w:sz w:val="32"/>
          <w:szCs w:val="32"/>
          <w:shd w:val="clear" w:color="auto" w:fill="FFFFFF"/>
        </w:rPr>
        <w:t>经费</w:t>
      </w:r>
      <w:r>
        <w:rPr>
          <w:rFonts w:hint="eastAsia" w:ascii="仿宋_GB2312" w:hAnsi="宋体" w:eastAsia="仿宋_GB2312" w:cs="宋体"/>
          <w:color w:val="000000"/>
          <w:kern w:val="0"/>
          <w:sz w:val="32"/>
          <w:szCs w:val="32"/>
          <w:shd w:val="clear" w:color="auto" w:fill="FFFFFF"/>
          <w:lang w:val="en-US" w:eastAsia="zh-CN"/>
        </w:rPr>
        <w:t>42.88</w:t>
      </w:r>
      <w:r>
        <w:rPr>
          <w:rFonts w:hint="eastAsia" w:ascii="仿宋_GB2312" w:hAnsi="宋体" w:eastAsia="仿宋_GB2312" w:cs="宋体"/>
          <w:color w:val="000000"/>
          <w:kern w:val="0"/>
          <w:sz w:val="32"/>
          <w:szCs w:val="32"/>
          <w:shd w:val="clear" w:color="auto" w:fill="FFFFFF"/>
        </w:rPr>
        <w:t>万元</w:t>
      </w:r>
      <w:r>
        <w:rPr>
          <w:rFonts w:hint="eastAsia" w:ascii="仿宋_GB2312" w:hAnsi="宋体" w:eastAsia="仿宋_GB2312" w:cs="宋体"/>
          <w:color w:val="000000"/>
          <w:kern w:val="0"/>
          <w:sz w:val="32"/>
          <w:szCs w:val="32"/>
          <w:shd w:val="clear" w:color="auto" w:fill="FFFFFF"/>
          <w:lang w:eastAsia="zh-CN"/>
        </w:rPr>
        <w:t>，</w:t>
      </w:r>
      <w:r>
        <w:rPr>
          <w:rFonts w:hint="eastAsia" w:ascii="仿宋_GB2312" w:hAnsi="宋体" w:eastAsia="仿宋_GB2312" w:cs="宋体"/>
          <w:color w:val="000000"/>
          <w:kern w:val="0"/>
          <w:sz w:val="32"/>
          <w:szCs w:val="32"/>
          <w:shd w:val="clear" w:color="auto" w:fill="FFFFFF"/>
          <w:lang w:val="en-US" w:eastAsia="zh-CN"/>
        </w:rPr>
        <w:t>2、</w:t>
      </w:r>
      <w:r>
        <w:rPr>
          <w:rFonts w:hint="eastAsia" w:ascii="仿宋_GB2312" w:hAnsi="宋体" w:eastAsia="仿宋_GB2312" w:cs="宋体"/>
          <w:color w:val="000000"/>
          <w:kern w:val="0"/>
          <w:sz w:val="32"/>
          <w:szCs w:val="32"/>
          <w:shd w:val="clear" w:color="auto" w:fill="FFFFFF"/>
          <w:lang w:eastAsia="zh-CN"/>
        </w:rPr>
        <w:t>文化创作与保护经费</w:t>
      </w:r>
      <w:r>
        <w:rPr>
          <w:rFonts w:hint="eastAsia" w:ascii="仿宋_GB2312" w:hAnsi="宋体" w:eastAsia="仿宋_GB2312" w:cs="宋体"/>
          <w:color w:val="000000"/>
          <w:kern w:val="0"/>
          <w:sz w:val="32"/>
          <w:szCs w:val="32"/>
          <w:shd w:val="clear" w:color="auto" w:fill="FFFFFF"/>
          <w:lang w:val="en-US" w:eastAsia="zh-CN"/>
        </w:rPr>
        <w:t>90.30万元（其中</w:t>
      </w:r>
      <w:r>
        <w:rPr>
          <w:rFonts w:hint="eastAsia" w:ascii="仿宋_GB2312" w:hAnsi="宋体" w:eastAsia="仿宋_GB2312" w:cs="宋体"/>
          <w:color w:val="000000"/>
          <w:kern w:val="0"/>
          <w:sz w:val="32"/>
          <w:szCs w:val="32"/>
          <w:shd w:val="clear" w:color="auto" w:fill="FFFFFF"/>
          <w:lang w:eastAsia="zh-CN"/>
        </w:rPr>
        <w:t>包括</w:t>
      </w:r>
      <w:r>
        <w:rPr>
          <w:rFonts w:hint="eastAsia" w:ascii="仿宋_GB2312" w:hAnsi="宋体" w:eastAsia="仿宋_GB2312" w:cs="宋体"/>
          <w:color w:val="000000"/>
          <w:kern w:val="0"/>
          <w:sz w:val="32"/>
          <w:szCs w:val="32"/>
          <w:shd w:val="clear" w:color="auto" w:fill="FFFFFF"/>
        </w:rPr>
        <w:t>民族民间传统保护经费</w:t>
      </w:r>
      <w:r>
        <w:rPr>
          <w:rFonts w:hint="eastAsia" w:ascii="仿宋_GB2312" w:hAnsi="宋体" w:eastAsia="仿宋_GB2312" w:cs="宋体"/>
          <w:color w:val="000000"/>
          <w:kern w:val="0"/>
          <w:sz w:val="32"/>
          <w:szCs w:val="32"/>
          <w:shd w:val="clear" w:color="auto" w:fill="FFFFFF"/>
          <w:lang w:val="en-US" w:eastAsia="zh-CN"/>
        </w:rPr>
        <w:t>18.74</w:t>
      </w:r>
      <w:r>
        <w:rPr>
          <w:rFonts w:hint="eastAsia" w:ascii="仿宋_GB2312" w:hAnsi="宋体" w:eastAsia="仿宋_GB2312" w:cs="宋体"/>
          <w:color w:val="000000"/>
          <w:kern w:val="0"/>
          <w:sz w:val="32"/>
          <w:szCs w:val="32"/>
          <w:shd w:val="clear" w:color="auto" w:fill="FFFFFF"/>
        </w:rPr>
        <w:t>万元、</w:t>
      </w:r>
      <w:r>
        <w:rPr>
          <w:rFonts w:hint="eastAsia" w:ascii="仿宋_GB2312" w:hAnsi="宋体" w:eastAsia="仿宋_GB2312" w:cs="宋体"/>
          <w:color w:val="000000"/>
          <w:kern w:val="0"/>
          <w:sz w:val="32"/>
          <w:szCs w:val="32"/>
          <w:shd w:val="clear" w:color="auto" w:fill="FFFFFF"/>
          <w:lang w:eastAsia="zh-CN"/>
        </w:rPr>
        <w:t>贡溪田家村长廊建设资金</w:t>
      </w:r>
      <w:r>
        <w:rPr>
          <w:rFonts w:hint="eastAsia" w:ascii="仿宋_GB2312" w:hAnsi="宋体" w:eastAsia="仿宋_GB2312" w:cs="宋体"/>
          <w:color w:val="000000"/>
          <w:kern w:val="0"/>
          <w:sz w:val="32"/>
          <w:szCs w:val="32"/>
          <w:shd w:val="clear" w:color="auto" w:fill="FFFFFF"/>
          <w:lang w:val="en-US" w:eastAsia="zh-CN"/>
        </w:rPr>
        <w:t>10万元，文化体服务平台建设4.03万元，特色村寨项目19万元，风雨桥维修工程18.7万元，文化基地建设19.83万元），3、文化和旅游支出252.99万元（其中包括</w:t>
      </w:r>
      <w:r>
        <w:rPr>
          <w:rFonts w:hint="eastAsia" w:ascii="仿宋_GB2312" w:hAnsi="宋体" w:eastAsia="仿宋_GB2312" w:cs="宋体"/>
          <w:color w:val="000000"/>
          <w:kern w:val="0"/>
          <w:sz w:val="32"/>
          <w:szCs w:val="32"/>
          <w:shd w:val="clear" w:color="auto" w:fill="FFFFFF"/>
        </w:rPr>
        <w:t>户户通工程</w:t>
      </w:r>
      <w:r>
        <w:rPr>
          <w:rFonts w:hint="eastAsia" w:ascii="仿宋_GB2312" w:hAnsi="宋体" w:eastAsia="仿宋_GB2312" w:cs="宋体"/>
          <w:color w:val="000000"/>
          <w:kern w:val="0"/>
          <w:sz w:val="32"/>
          <w:szCs w:val="32"/>
          <w:shd w:val="clear" w:color="auto" w:fill="FFFFFF"/>
          <w:lang w:val="en-US" w:eastAsia="zh-CN"/>
        </w:rPr>
        <w:t>202.99</w:t>
      </w:r>
      <w:r>
        <w:rPr>
          <w:rFonts w:hint="eastAsia" w:ascii="仿宋_GB2312" w:hAnsi="宋体" w:eastAsia="仿宋_GB2312" w:cs="宋体"/>
          <w:color w:val="000000"/>
          <w:kern w:val="0"/>
          <w:sz w:val="32"/>
          <w:szCs w:val="32"/>
          <w:shd w:val="clear" w:color="auto" w:fill="FFFFFF"/>
        </w:rPr>
        <w:t>万元、</w:t>
      </w:r>
      <w:r>
        <w:rPr>
          <w:rFonts w:hint="eastAsia" w:ascii="仿宋_GB2312" w:hAnsi="宋体" w:eastAsia="仿宋_GB2312" w:cs="宋体"/>
          <w:color w:val="000000"/>
          <w:kern w:val="0"/>
          <w:sz w:val="32"/>
          <w:szCs w:val="32"/>
          <w:shd w:val="clear" w:color="auto" w:fill="FFFFFF"/>
          <w:lang w:eastAsia="zh-CN"/>
        </w:rPr>
        <w:t>新晃总分馆制建设</w:t>
      </w:r>
      <w:r>
        <w:rPr>
          <w:rFonts w:hint="eastAsia" w:ascii="仿宋_GB2312" w:hAnsi="宋体" w:eastAsia="仿宋_GB2312" w:cs="宋体"/>
          <w:color w:val="000000"/>
          <w:kern w:val="0"/>
          <w:sz w:val="32"/>
          <w:szCs w:val="32"/>
          <w:shd w:val="clear" w:color="auto" w:fill="FFFFFF"/>
          <w:lang w:val="en-US" w:eastAsia="zh-CN"/>
        </w:rPr>
        <w:t>20万元，扶罗村风雨张廊工程及龙溪古镇建设经费20万元，侗族文化展示馆改建经费10万元），4、文物保护经费18.32万元，5、</w:t>
      </w:r>
      <w:r>
        <w:rPr>
          <w:rFonts w:hint="eastAsia" w:ascii="仿宋_GB2312" w:hAnsi="宋体" w:eastAsia="仿宋_GB2312" w:cs="宋体"/>
          <w:color w:val="000000"/>
          <w:kern w:val="0"/>
          <w:sz w:val="32"/>
          <w:szCs w:val="32"/>
          <w:shd w:val="clear" w:color="auto" w:fill="FFFFFF"/>
        </w:rPr>
        <w:t>体育彩票公益金项目</w:t>
      </w:r>
      <w:r>
        <w:rPr>
          <w:rFonts w:hint="eastAsia" w:ascii="仿宋_GB2312" w:hAnsi="宋体" w:eastAsia="仿宋_GB2312" w:cs="宋体"/>
          <w:color w:val="000000"/>
          <w:kern w:val="0"/>
          <w:sz w:val="32"/>
          <w:szCs w:val="32"/>
          <w:shd w:val="clear" w:color="auto" w:fill="FFFFFF"/>
          <w:lang w:val="en-US" w:eastAsia="zh-CN"/>
        </w:rPr>
        <w:t>139.17</w:t>
      </w:r>
      <w:r>
        <w:rPr>
          <w:rFonts w:hint="eastAsia" w:ascii="仿宋_GB2312" w:hAnsi="宋体" w:eastAsia="仿宋_GB2312" w:cs="宋体"/>
          <w:color w:val="000000"/>
          <w:kern w:val="0"/>
          <w:sz w:val="32"/>
          <w:szCs w:val="32"/>
          <w:shd w:val="clear" w:color="auto" w:fill="FFFFFF"/>
        </w:rPr>
        <w:t>万元</w:t>
      </w:r>
      <w:r>
        <w:rPr>
          <w:rFonts w:hint="eastAsia" w:ascii="仿宋_GB2312" w:hAnsi="宋体" w:eastAsia="仿宋_GB2312" w:cs="宋体"/>
          <w:color w:val="000000"/>
          <w:kern w:val="0"/>
          <w:sz w:val="32"/>
          <w:szCs w:val="32"/>
          <w:shd w:val="clear" w:color="auto" w:fill="FFFFFF"/>
          <w:lang w:eastAsia="zh-CN"/>
        </w:rPr>
        <w:t>（其中包括健身器材经费</w:t>
      </w:r>
      <w:r>
        <w:rPr>
          <w:rFonts w:hint="eastAsia" w:ascii="仿宋_GB2312" w:hAnsi="宋体" w:eastAsia="仿宋_GB2312" w:cs="宋体"/>
          <w:color w:val="000000"/>
          <w:kern w:val="0"/>
          <w:sz w:val="32"/>
          <w:szCs w:val="32"/>
          <w:shd w:val="clear" w:color="auto" w:fill="FFFFFF"/>
          <w:lang w:val="en-US" w:eastAsia="zh-CN"/>
        </w:rPr>
        <w:t>80万元，支持乡镇篮球场和广场建设经费37.87万元，市六运会经费21万元，骑行活动经费0.3万元）</w:t>
      </w:r>
      <w:r>
        <w:rPr>
          <w:rFonts w:hint="eastAsia" w:ascii="仿宋_GB2312" w:hAnsi="宋体" w:eastAsia="仿宋_GB2312" w:cs="宋体"/>
          <w:color w:val="000000"/>
          <w:kern w:val="0"/>
          <w:sz w:val="32"/>
          <w:szCs w:val="32"/>
          <w:shd w:val="clear" w:color="auto" w:fill="FFFFFF"/>
        </w:rPr>
        <w:t>。</w:t>
      </w:r>
    </w:p>
    <w:p>
      <w:pPr>
        <w:keepNext w:val="0"/>
        <w:keepLines w:val="0"/>
        <w:pageBreakBefore w:val="0"/>
        <w:widowControl/>
        <w:shd w:val="clear" w:color="auto" w:fill="FFFFFF"/>
        <w:kinsoku/>
        <w:wordWrap/>
        <w:overflowPunct/>
        <w:topLinePunct w:val="0"/>
        <w:autoSpaceDE/>
        <w:autoSpaceDN/>
        <w:bidi w:val="0"/>
        <w:adjustRightInd/>
        <w:spacing w:line="540" w:lineRule="exact"/>
        <w:ind w:firstLine="640" w:firstLineChars="200"/>
        <w:jc w:val="left"/>
        <w:textAlignment w:val="auto"/>
        <w:rPr>
          <w:rFonts w:ascii="仿宋_GB2312" w:hAnsi="Helvetica" w:eastAsia="仿宋_GB2312" w:cs="宋体"/>
          <w:color w:val="333333"/>
          <w:kern w:val="0"/>
          <w:sz w:val="32"/>
          <w:szCs w:val="32"/>
        </w:rPr>
      </w:pPr>
      <w:r>
        <w:rPr>
          <w:rFonts w:hint="eastAsia" w:ascii="仿宋_GB2312" w:hAnsi="宋体" w:eastAsia="仿宋_GB2312" w:cs="宋体"/>
          <w:color w:val="000000"/>
          <w:kern w:val="0"/>
          <w:sz w:val="32"/>
          <w:szCs w:val="32"/>
          <w:shd w:val="clear" w:color="auto" w:fill="FFFFFF"/>
        </w:rPr>
        <w:t>(三)、专项资金管理情况分析</w:t>
      </w:r>
    </w:p>
    <w:p>
      <w:pPr>
        <w:keepNext w:val="0"/>
        <w:keepLines w:val="0"/>
        <w:pageBreakBefore w:val="0"/>
        <w:widowControl/>
        <w:shd w:val="clear" w:color="auto" w:fill="FFFFFF"/>
        <w:kinsoku/>
        <w:wordWrap/>
        <w:overflowPunct/>
        <w:topLinePunct w:val="0"/>
        <w:autoSpaceDE/>
        <w:autoSpaceDN/>
        <w:bidi w:val="0"/>
        <w:adjustRightInd/>
        <w:spacing w:line="540" w:lineRule="exact"/>
        <w:ind w:firstLine="640" w:firstLineChars="200"/>
        <w:jc w:val="left"/>
        <w:textAlignment w:val="auto"/>
        <w:rPr>
          <w:rFonts w:ascii="仿宋_GB2312" w:hAnsi="Helvetica" w:eastAsia="仿宋_GB2312" w:cs="宋体"/>
          <w:color w:val="333333"/>
          <w:kern w:val="0"/>
          <w:sz w:val="32"/>
          <w:szCs w:val="32"/>
        </w:rPr>
      </w:pPr>
      <w:r>
        <w:rPr>
          <w:rFonts w:hint="eastAsia" w:ascii="仿宋_GB2312" w:hAnsi="宋体" w:eastAsia="仿宋_GB2312" w:cs="宋体"/>
          <w:color w:val="333333"/>
          <w:kern w:val="0"/>
          <w:sz w:val="32"/>
          <w:szCs w:val="32"/>
        </w:rPr>
        <w:t>在专项资金使用过程中，我局为切实规范专项资金管理，保障资金安全，高效运行，制定了管理制度，并严格执行相关财务制度，资金拨付严格坚持先做事、后验收、再拨付的原则。</w:t>
      </w:r>
    </w:p>
    <w:p>
      <w:pPr>
        <w:keepNext w:val="0"/>
        <w:keepLines w:val="0"/>
        <w:pageBreakBefore w:val="0"/>
        <w:widowControl/>
        <w:shd w:val="clear" w:color="auto" w:fill="FFFFFF"/>
        <w:kinsoku/>
        <w:wordWrap/>
        <w:overflowPunct/>
        <w:topLinePunct w:val="0"/>
        <w:autoSpaceDE/>
        <w:autoSpaceDN/>
        <w:bidi w:val="0"/>
        <w:adjustRightInd/>
        <w:spacing w:line="540" w:lineRule="exact"/>
        <w:ind w:firstLine="640" w:firstLineChars="200"/>
        <w:jc w:val="left"/>
        <w:textAlignment w:val="auto"/>
        <w:rPr>
          <w:rFonts w:ascii="仿宋_GB2312" w:hAnsi="Helvetica" w:eastAsia="仿宋_GB2312" w:cs="宋体"/>
          <w:color w:val="333333"/>
          <w:kern w:val="0"/>
          <w:sz w:val="32"/>
          <w:szCs w:val="32"/>
        </w:rPr>
      </w:pPr>
      <w:r>
        <w:rPr>
          <w:rFonts w:hint="eastAsia" w:ascii="仿宋_GB2312" w:hAnsi="宋体" w:eastAsia="仿宋_GB2312" w:cs="宋体"/>
          <w:bCs/>
          <w:color w:val="000000"/>
          <w:kern w:val="0"/>
          <w:sz w:val="32"/>
          <w:szCs w:val="32"/>
          <w:shd w:val="clear" w:color="auto" w:fill="FFFFFF"/>
        </w:rPr>
        <w:t>（四）、资金绩效自评情况</w:t>
      </w:r>
    </w:p>
    <w:p>
      <w:pPr>
        <w:keepNext w:val="0"/>
        <w:keepLines w:val="0"/>
        <w:pageBreakBefore w:val="0"/>
        <w:widowControl/>
        <w:shd w:val="clear" w:color="auto" w:fill="FFFFFF"/>
        <w:kinsoku/>
        <w:wordWrap/>
        <w:overflowPunct/>
        <w:topLinePunct w:val="0"/>
        <w:autoSpaceDE/>
        <w:autoSpaceDN/>
        <w:bidi w:val="0"/>
        <w:adjustRightInd/>
        <w:spacing w:line="540" w:lineRule="exact"/>
        <w:ind w:firstLine="640" w:firstLineChars="200"/>
        <w:jc w:val="left"/>
        <w:textAlignment w:val="auto"/>
        <w:rPr>
          <w:rFonts w:ascii="仿宋_GB2312" w:hAnsi="Helvetica" w:eastAsia="仿宋_GB2312" w:cs="宋体"/>
          <w:color w:val="333333"/>
          <w:kern w:val="0"/>
          <w:sz w:val="32"/>
          <w:szCs w:val="32"/>
        </w:rPr>
      </w:pPr>
      <w:r>
        <w:rPr>
          <w:rFonts w:hint="eastAsia" w:ascii="仿宋_GB2312" w:hAnsi="宋体" w:eastAsia="仿宋_GB2312" w:cs="宋体"/>
          <w:color w:val="000000"/>
          <w:kern w:val="0"/>
          <w:sz w:val="32"/>
          <w:szCs w:val="32"/>
          <w:shd w:val="clear" w:color="auto" w:fill="FFFFFF"/>
        </w:rPr>
        <w:t>从整体上看，202</w:t>
      </w:r>
      <w:r>
        <w:rPr>
          <w:rFonts w:hint="eastAsia" w:ascii="仿宋_GB2312" w:hAnsi="宋体" w:eastAsia="仿宋_GB2312" w:cs="宋体"/>
          <w:color w:val="000000"/>
          <w:kern w:val="0"/>
          <w:sz w:val="32"/>
          <w:szCs w:val="32"/>
          <w:shd w:val="clear" w:color="auto" w:fill="FFFFFF"/>
          <w:lang w:val="en-US" w:eastAsia="zh-CN"/>
        </w:rPr>
        <w:t>1</w:t>
      </w:r>
      <w:r>
        <w:rPr>
          <w:rFonts w:hint="eastAsia" w:ascii="仿宋_GB2312" w:hAnsi="宋体" w:eastAsia="仿宋_GB2312" w:cs="宋体"/>
          <w:color w:val="000000"/>
          <w:kern w:val="0"/>
          <w:sz w:val="32"/>
          <w:szCs w:val="32"/>
          <w:shd w:val="clear" w:color="auto" w:fill="FFFFFF"/>
        </w:rPr>
        <w:t>年我局资金运行维护决策正确，资金管理规范，项目管理到位，政策执行有力，有效发挥了财政资金的使用效率。在人员经费支出、公共支出严格执行政府的各项制度；在项目经费的使用上，在保证各项任务顺利完成的同时，严格落实厉行节约的原则；三公经费的使用严格控制在预算申报的范围内。</w:t>
      </w:r>
    </w:p>
    <w:p>
      <w:pPr>
        <w:keepNext w:val="0"/>
        <w:keepLines w:val="0"/>
        <w:pageBreakBefore w:val="0"/>
        <w:kinsoku/>
        <w:wordWrap/>
        <w:overflowPunct/>
        <w:topLinePunct w:val="0"/>
        <w:autoSpaceDE/>
        <w:autoSpaceDN/>
        <w:bidi w:val="0"/>
        <w:adjustRightInd/>
        <w:spacing w:line="540" w:lineRule="exact"/>
        <w:ind w:firstLine="640" w:firstLineChars="200"/>
        <w:jc w:val="left"/>
        <w:textAlignment w:val="auto"/>
        <w:rPr>
          <w:rFonts w:ascii="仿宋_GB2312" w:eastAsia="仿宋_GB2312"/>
          <w:kern w:val="0"/>
          <w:sz w:val="32"/>
          <w:szCs w:val="32"/>
        </w:rPr>
      </w:pPr>
      <w:r>
        <w:rPr>
          <w:rFonts w:hint="eastAsia" w:ascii="仿宋_GB2312" w:eastAsia="仿宋_GB2312"/>
          <w:kern w:val="0"/>
          <w:sz w:val="32"/>
          <w:szCs w:val="32"/>
        </w:rPr>
        <w:t>一年来面对严峻复杂的国内外环境、不断加大的经济下行压力的艰巨繁重的发展改革任务，全局干部职工主动适应新常态，妥善应对多重挑战，圆满完成了年度主要目标任务，为全县经济运行稳中有进做出了积极贡献。</w:t>
      </w:r>
    </w:p>
    <w:p>
      <w:pPr>
        <w:keepNext w:val="0"/>
        <w:keepLines w:val="0"/>
        <w:pageBreakBefore w:val="0"/>
        <w:kinsoku/>
        <w:wordWrap/>
        <w:overflowPunct/>
        <w:topLinePunct w:val="0"/>
        <w:autoSpaceDE/>
        <w:autoSpaceDN/>
        <w:bidi w:val="0"/>
        <w:adjustRightInd/>
        <w:spacing w:line="540" w:lineRule="exact"/>
        <w:ind w:firstLine="643" w:firstLineChars="200"/>
        <w:jc w:val="left"/>
        <w:textAlignment w:val="auto"/>
        <w:rPr>
          <w:rFonts w:hint="eastAsia" w:ascii="宋体" w:hAnsi="宋体" w:eastAsia="宋体" w:cs="宋体"/>
          <w:b/>
          <w:bCs/>
          <w:kern w:val="0"/>
          <w:sz w:val="32"/>
          <w:szCs w:val="32"/>
        </w:rPr>
      </w:pPr>
      <w:r>
        <w:rPr>
          <w:rFonts w:hint="eastAsia" w:ascii="宋体" w:hAnsi="宋体" w:eastAsia="宋体" w:cs="宋体"/>
          <w:b/>
          <w:bCs/>
          <w:kern w:val="0"/>
          <w:sz w:val="32"/>
          <w:szCs w:val="32"/>
        </w:rPr>
        <w:t>三、存在的问题及原因</w:t>
      </w:r>
    </w:p>
    <w:p>
      <w:pPr>
        <w:keepNext w:val="0"/>
        <w:keepLines w:val="0"/>
        <w:pageBreakBefore w:val="0"/>
        <w:kinsoku/>
        <w:wordWrap/>
        <w:overflowPunct/>
        <w:topLinePunct w:val="0"/>
        <w:autoSpaceDE/>
        <w:autoSpaceDN/>
        <w:bidi w:val="0"/>
        <w:adjustRightInd/>
        <w:spacing w:line="540" w:lineRule="exact"/>
        <w:ind w:firstLine="640" w:firstLineChars="200"/>
        <w:jc w:val="left"/>
        <w:textAlignment w:val="auto"/>
        <w:rPr>
          <w:rFonts w:ascii="仿宋_GB2312" w:eastAsia="仿宋_GB2312"/>
          <w:kern w:val="0"/>
          <w:sz w:val="32"/>
          <w:szCs w:val="32"/>
        </w:rPr>
      </w:pPr>
      <w:r>
        <w:rPr>
          <w:rFonts w:hint="eastAsia" w:ascii="仿宋_GB2312" w:eastAsia="仿宋_GB2312"/>
          <w:kern w:val="0"/>
          <w:sz w:val="32"/>
          <w:szCs w:val="32"/>
        </w:rPr>
        <w:t>通过本次绩效自评，发现还存在以下方面问题：由于年初财政预算公用经费资金不足，部分支出不能足额编制，如：基本支出中的办公费、印刷费和差旅费等。年初安排的人头经费开支远远不够，导致部分支出开支较年初预算金额超支。</w:t>
      </w:r>
    </w:p>
    <w:p>
      <w:pPr>
        <w:keepNext w:val="0"/>
        <w:keepLines w:val="0"/>
        <w:pageBreakBefore w:val="0"/>
        <w:kinsoku/>
        <w:wordWrap/>
        <w:overflowPunct/>
        <w:topLinePunct w:val="0"/>
        <w:autoSpaceDE/>
        <w:autoSpaceDN/>
        <w:bidi w:val="0"/>
        <w:adjustRightInd/>
        <w:spacing w:line="540" w:lineRule="exact"/>
        <w:ind w:firstLine="643" w:firstLineChars="200"/>
        <w:jc w:val="left"/>
        <w:textAlignment w:val="auto"/>
        <w:rPr>
          <w:rFonts w:hint="eastAsia" w:ascii="宋体" w:hAnsi="宋体" w:eastAsia="宋体" w:cs="宋体"/>
          <w:b/>
          <w:bCs/>
          <w:kern w:val="0"/>
          <w:sz w:val="32"/>
          <w:szCs w:val="32"/>
        </w:rPr>
      </w:pPr>
      <w:r>
        <w:rPr>
          <w:rFonts w:hint="eastAsia" w:ascii="宋体" w:hAnsi="宋体" w:eastAsia="宋体" w:cs="宋体"/>
          <w:b/>
          <w:bCs/>
          <w:kern w:val="0"/>
          <w:sz w:val="32"/>
          <w:szCs w:val="32"/>
        </w:rPr>
        <w:t>四、提高财政资金绩效的措施与建议</w:t>
      </w:r>
    </w:p>
    <w:p>
      <w:pPr>
        <w:keepNext w:val="0"/>
        <w:keepLines w:val="0"/>
        <w:pageBreakBefore w:val="0"/>
        <w:kinsoku/>
        <w:wordWrap/>
        <w:overflowPunct/>
        <w:topLinePunct w:val="0"/>
        <w:autoSpaceDE/>
        <w:autoSpaceDN/>
        <w:bidi w:val="0"/>
        <w:adjustRightInd/>
        <w:spacing w:line="540" w:lineRule="exact"/>
        <w:ind w:firstLine="640" w:firstLineChars="200"/>
        <w:jc w:val="left"/>
        <w:textAlignment w:val="auto"/>
        <w:rPr>
          <w:rFonts w:ascii="仿宋_GB2312" w:eastAsia="仿宋_GB2312"/>
          <w:kern w:val="0"/>
          <w:sz w:val="32"/>
          <w:szCs w:val="32"/>
        </w:rPr>
      </w:pPr>
      <w:r>
        <w:rPr>
          <w:rFonts w:hint="eastAsia" w:ascii="仿宋_GB2312" w:eastAsia="仿宋_GB2312"/>
          <w:kern w:val="0"/>
          <w:sz w:val="32"/>
          <w:szCs w:val="32"/>
        </w:rPr>
        <w:t>1、规范财务管理，提高财务信息质量。</w:t>
      </w:r>
    </w:p>
    <w:p>
      <w:pPr>
        <w:keepNext w:val="0"/>
        <w:keepLines w:val="0"/>
        <w:pageBreakBefore w:val="0"/>
        <w:kinsoku/>
        <w:wordWrap/>
        <w:overflowPunct/>
        <w:topLinePunct w:val="0"/>
        <w:autoSpaceDE/>
        <w:autoSpaceDN/>
        <w:bidi w:val="0"/>
        <w:adjustRightInd/>
        <w:spacing w:line="540" w:lineRule="exact"/>
        <w:ind w:firstLine="640" w:firstLineChars="200"/>
        <w:jc w:val="left"/>
        <w:textAlignment w:val="auto"/>
        <w:rPr>
          <w:rFonts w:eastAsia="仿宋_GB2312"/>
          <w:kern w:val="0"/>
          <w:sz w:val="32"/>
          <w:szCs w:val="32"/>
        </w:rPr>
      </w:pPr>
      <w:r>
        <w:rPr>
          <w:rFonts w:hint="eastAsia" w:eastAsia="仿宋_GB2312"/>
          <w:kern w:val="0"/>
          <w:sz w:val="32"/>
          <w:szCs w:val="32"/>
        </w:rPr>
        <w:t>2、加强学习和培训、定期开展新制度、新法规学习、培训</w:t>
      </w:r>
    </w:p>
    <w:p>
      <w:pPr>
        <w:keepNext w:val="0"/>
        <w:keepLines w:val="0"/>
        <w:pageBreakBefore w:val="0"/>
        <w:kinsoku/>
        <w:wordWrap/>
        <w:overflowPunct/>
        <w:topLinePunct w:val="0"/>
        <w:autoSpaceDE/>
        <w:autoSpaceDN/>
        <w:bidi w:val="0"/>
        <w:adjustRightInd/>
        <w:spacing w:line="540" w:lineRule="exact"/>
        <w:ind w:firstLine="640" w:firstLineChars="200"/>
        <w:jc w:val="left"/>
        <w:textAlignment w:val="auto"/>
        <w:rPr>
          <w:rFonts w:eastAsia="仿宋_GB2312"/>
          <w:kern w:val="0"/>
          <w:sz w:val="32"/>
          <w:szCs w:val="32"/>
        </w:rPr>
      </w:pPr>
      <w:r>
        <w:rPr>
          <w:rFonts w:hint="eastAsia" w:eastAsia="仿宋_GB2312"/>
          <w:kern w:val="0"/>
          <w:sz w:val="32"/>
          <w:szCs w:val="32"/>
        </w:rPr>
        <w:t>3、加强预算的约束力，细化预算编制工作。进一步加强全局内部机构各股室的预算管理意识，严格按照预算编制的相关制度和要求，编制范围尽可能的全面。严格控制，尽力避免超预算开支的情况，进一步提高预算编制的科学性、合理性和可控性。</w:t>
      </w:r>
    </w:p>
    <w:p>
      <w:pPr>
        <w:keepNext w:val="0"/>
        <w:keepLines w:val="0"/>
        <w:pageBreakBefore w:val="0"/>
        <w:tabs>
          <w:tab w:val="right" w:pos="8306"/>
        </w:tabs>
        <w:kinsoku/>
        <w:wordWrap/>
        <w:overflowPunct/>
        <w:topLinePunct w:val="0"/>
        <w:autoSpaceDE/>
        <w:autoSpaceDN/>
        <w:bidi w:val="0"/>
        <w:adjustRightInd/>
        <w:spacing w:line="540" w:lineRule="exact"/>
        <w:ind w:firstLine="643" w:firstLineChars="200"/>
        <w:jc w:val="left"/>
        <w:textAlignment w:val="auto"/>
        <w:rPr>
          <w:rFonts w:eastAsia="仿宋_GB2312"/>
          <w:kern w:val="0"/>
          <w:sz w:val="32"/>
          <w:szCs w:val="32"/>
        </w:rPr>
      </w:pPr>
      <w:r>
        <w:rPr>
          <w:rFonts w:hint="eastAsia" w:ascii="宋体" w:hAnsi="宋体" w:eastAsia="宋体" w:cs="宋体"/>
          <w:b/>
          <w:bCs/>
          <w:kern w:val="0"/>
          <w:sz w:val="32"/>
          <w:szCs w:val="32"/>
        </w:rPr>
        <w:t>五、附件（佐证依据）</w:t>
      </w:r>
      <w:r>
        <w:rPr>
          <w:rFonts w:eastAsia="仿宋_GB2312"/>
          <w:kern w:val="0"/>
          <w:sz w:val="32"/>
          <w:szCs w:val="32"/>
        </w:rPr>
        <w:tab/>
      </w:r>
    </w:p>
    <w:p>
      <w:pPr>
        <w:keepNext w:val="0"/>
        <w:keepLines w:val="0"/>
        <w:pageBreakBefore w:val="0"/>
        <w:kinsoku/>
        <w:wordWrap/>
        <w:overflowPunct/>
        <w:topLinePunct w:val="0"/>
        <w:autoSpaceDE/>
        <w:autoSpaceDN/>
        <w:bidi w:val="0"/>
        <w:adjustRightInd/>
        <w:spacing w:line="540" w:lineRule="exact"/>
        <w:ind w:firstLine="640" w:firstLineChars="200"/>
        <w:jc w:val="left"/>
        <w:textAlignment w:val="auto"/>
        <w:rPr>
          <w:rFonts w:eastAsia="仿宋_GB2312"/>
          <w:kern w:val="0"/>
          <w:sz w:val="32"/>
          <w:szCs w:val="32"/>
        </w:rPr>
      </w:pPr>
      <w:r>
        <w:rPr>
          <w:rFonts w:eastAsia="仿宋_GB2312"/>
          <w:kern w:val="0"/>
          <w:sz w:val="32"/>
          <w:szCs w:val="32"/>
        </w:rPr>
        <w:t>部门认为需要作为评价报告附件的有关文件、资料等，以进一步解释和证明报告所反映的相关内容。</w:t>
      </w:r>
    </w:p>
    <w:p>
      <w:pPr>
        <w:keepNext w:val="0"/>
        <w:keepLines w:val="0"/>
        <w:pageBreakBefore w:val="0"/>
        <w:kinsoku/>
        <w:wordWrap/>
        <w:overflowPunct/>
        <w:topLinePunct w:val="0"/>
        <w:autoSpaceDE/>
        <w:autoSpaceDN/>
        <w:bidi w:val="0"/>
        <w:adjustRightInd/>
        <w:spacing w:line="540" w:lineRule="exact"/>
        <w:ind w:firstLine="640" w:firstLineChars="200"/>
        <w:jc w:val="left"/>
        <w:textAlignment w:val="auto"/>
        <w:rPr>
          <w:rFonts w:eastAsia="仿宋_GB2312"/>
          <w:kern w:val="0"/>
          <w:sz w:val="32"/>
          <w:szCs w:val="32"/>
        </w:rPr>
      </w:pPr>
      <w:r>
        <w:rPr>
          <w:rFonts w:eastAsia="仿宋_GB2312"/>
          <w:kern w:val="0"/>
          <w:sz w:val="32"/>
          <w:szCs w:val="32"/>
        </w:rPr>
        <w:t xml:space="preserve"> </w:t>
      </w:r>
    </w:p>
    <w:p>
      <w:pPr>
        <w:keepNext w:val="0"/>
        <w:keepLines w:val="0"/>
        <w:pageBreakBefore w:val="0"/>
        <w:kinsoku/>
        <w:wordWrap/>
        <w:overflowPunct/>
        <w:topLinePunct w:val="0"/>
        <w:autoSpaceDE/>
        <w:autoSpaceDN/>
        <w:bidi w:val="0"/>
        <w:adjustRightInd/>
        <w:spacing w:line="540" w:lineRule="exact"/>
        <w:ind w:firstLine="640" w:firstLineChars="200"/>
        <w:jc w:val="left"/>
        <w:textAlignment w:val="auto"/>
        <w:rPr>
          <w:rFonts w:eastAsia="仿宋_GB2312"/>
          <w:kern w:val="0"/>
          <w:sz w:val="32"/>
          <w:szCs w:val="32"/>
        </w:rPr>
      </w:pPr>
    </w:p>
    <w:p>
      <w:pPr>
        <w:keepNext w:val="0"/>
        <w:keepLines w:val="0"/>
        <w:pageBreakBefore w:val="0"/>
        <w:kinsoku/>
        <w:wordWrap/>
        <w:overflowPunct/>
        <w:topLinePunct w:val="0"/>
        <w:autoSpaceDE/>
        <w:autoSpaceDN/>
        <w:bidi w:val="0"/>
        <w:adjustRightInd/>
        <w:spacing w:line="540" w:lineRule="exact"/>
        <w:ind w:firstLine="640" w:firstLineChars="200"/>
        <w:jc w:val="left"/>
        <w:textAlignment w:val="auto"/>
        <w:rPr>
          <w:rFonts w:eastAsia="仿宋_GB2312"/>
          <w:kern w:val="0"/>
          <w:sz w:val="32"/>
          <w:szCs w:val="32"/>
        </w:rPr>
      </w:pPr>
      <w:r>
        <w:rPr>
          <w:rFonts w:eastAsia="仿宋_GB2312"/>
          <w:kern w:val="0"/>
          <w:sz w:val="32"/>
          <w:szCs w:val="32"/>
        </w:rPr>
        <w:t xml:space="preserve">                        部门（签章）</w:t>
      </w:r>
    </w:p>
    <w:p>
      <w:pPr>
        <w:keepNext w:val="0"/>
        <w:keepLines w:val="0"/>
        <w:pageBreakBefore w:val="0"/>
        <w:kinsoku/>
        <w:wordWrap/>
        <w:overflowPunct/>
        <w:topLinePunct w:val="0"/>
        <w:autoSpaceDE/>
        <w:autoSpaceDN/>
        <w:bidi w:val="0"/>
        <w:adjustRightInd/>
        <w:spacing w:line="540" w:lineRule="exact"/>
        <w:ind w:firstLine="640" w:firstLineChars="200"/>
        <w:textAlignment w:val="auto"/>
      </w:pPr>
      <w:r>
        <w:rPr>
          <w:rFonts w:eastAsia="仿宋_GB2312"/>
          <w:kern w:val="0"/>
          <w:sz w:val="32"/>
          <w:szCs w:val="32"/>
        </w:rPr>
        <w:t xml:space="preserve">                               年     月    日</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方正粗宋简体">
    <w:altName w:val="宋体"/>
    <w:panose1 w:val="00000000000000000000"/>
    <w:charset w:val="86"/>
    <w:family w:val="script"/>
    <w:pitch w:val="default"/>
    <w:sig w:usb0="00000000" w:usb1="00000000" w:usb2="00000000" w:usb3="00000000" w:csb0="00040000" w:csb1="00000000"/>
  </w:font>
  <w:font w:name="方正小标宋简体">
    <w:altName w:val="微软雅黑"/>
    <w:panose1 w:val="00000000000000000000"/>
    <w:charset w:val="86"/>
    <w:family w:val="auto"/>
    <w:pitch w:val="default"/>
    <w:sig w:usb0="00000000" w:usb1="00000000" w:usb2="00000010" w:usb3="00000000" w:csb0="00040000" w:csb1="00000000"/>
  </w:font>
  <w:font w:name="Helvetica">
    <w:altName w:val="Arial"/>
    <w:panose1 w:val="020B0604020202020204"/>
    <w:charset w:val="00"/>
    <w:family w:val="swiss"/>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BhZjhjMWVmZDQ4Zjg0YWIzMDVlYWQwOTc0YTM0NDAifQ=="/>
  </w:docVars>
  <w:rsids>
    <w:rsidRoot w:val="00F65BFE"/>
    <w:rsid w:val="000D7354"/>
    <w:rsid w:val="00130B69"/>
    <w:rsid w:val="001F5FA5"/>
    <w:rsid w:val="0021164D"/>
    <w:rsid w:val="00290211"/>
    <w:rsid w:val="002D0375"/>
    <w:rsid w:val="00401CFB"/>
    <w:rsid w:val="004B0D91"/>
    <w:rsid w:val="004E7F01"/>
    <w:rsid w:val="004F60A5"/>
    <w:rsid w:val="005A3038"/>
    <w:rsid w:val="005E69F1"/>
    <w:rsid w:val="005F0103"/>
    <w:rsid w:val="006C780F"/>
    <w:rsid w:val="006D2E18"/>
    <w:rsid w:val="00743514"/>
    <w:rsid w:val="008554C3"/>
    <w:rsid w:val="008E22B5"/>
    <w:rsid w:val="009B7B09"/>
    <w:rsid w:val="009D6C3A"/>
    <w:rsid w:val="00A66F55"/>
    <w:rsid w:val="00B13C9A"/>
    <w:rsid w:val="00B15728"/>
    <w:rsid w:val="00BF37A9"/>
    <w:rsid w:val="00BF6036"/>
    <w:rsid w:val="00C040DF"/>
    <w:rsid w:val="00D057FC"/>
    <w:rsid w:val="00E85C75"/>
    <w:rsid w:val="00EF3B02"/>
    <w:rsid w:val="00F35BA1"/>
    <w:rsid w:val="00F65BFE"/>
    <w:rsid w:val="1B454BB6"/>
    <w:rsid w:val="341E54A8"/>
    <w:rsid w:val="3C365542"/>
    <w:rsid w:val="433F55D9"/>
    <w:rsid w:val="497D071D"/>
    <w:rsid w:val="535A1B17"/>
    <w:rsid w:val="699B57D3"/>
    <w:rsid w:val="6A6B6CAB"/>
    <w:rsid w:val="70FD4AAC"/>
    <w:rsid w:val="7E5219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semiHidden/>
    <w:unhideWhenUsed/>
    <w:qFormat/>
    <w:uiPriority w:val="99"/>
    <w:pPr>
      <w:tabs>
        <w:tab w:val="center" w:pos="4153"/>
        <w:tab w:val="right" w:pos="8306"/>
      </w:tabs>
      <w:snapToGrid w:val="0"/>
      <w:jc w:val="left"/>
    </w:pPr>
    <w:rPr>
      <w:sz w:val="18"/>
      <w:szCs w:val="18"/>
    </w:rPr>
  </w:style>
  <w:style w:type="paragraph" w:styleId="3">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7">
    <w:name w:val="Strong"/>
    <w:qFormat/>
    <w:uiPriority w:val="0"/>
    <w:rPr>
      <w:b/>
      <w:bCs/>
    </w:rPr>
  </w:style>
  <w:style w:type="character" w:customStyle="1" w:styleId="8">
    <w:name w:val="页眉 Char"/>
    <w:basedOn w:val="6"/>
    <w:link w:val="3"/>
    <w:semiHidden/>
    <w:qFormat/>
    <w:uiPriority w:val="99"/>
    <w:rPr>
      <w:rFonts w:ascii="Times New Roman" w:hAnsi="Times New Roman" w:eastAsia="宋体" w:cs="Times New Roman"/>
      <w:sz w:val="18"/>
      <w:szCs w:val="18"/>
    </w:rPr>
  </w:style>
  <w:style w:type="character" w:customStyle="1" w:styleId="9">
    <w:name w:val="页脚 Char"/>
    <w:basedOn w:val="6"/>
    <w:link w:val="2"/>
    <w:semiHidden/>
    <w:qFormat/>
    <w:uiPriority w:val="99"/>
    <w:rPr>
      <w:rFonts w:ascii="Times New Roman" w:hAnsi="Times New Roman" w:eastAsia="宋体" w:cs="Times New Roman"/>
      <w:sz w:val="18"/>
      <w:szCs w:val="18"/>
    </w:rPr>
  </w:style>
  <w:style w:type="paragraph" w:customStyle="1" w:styleId="10">
    <w:name w:val="p"/>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2936</Words>
  <Characters>3103</Characters>
  <Lines>14</Lines>
  <Paragraphs>4</Paragraphs>
  <TotalTime>24</TotalTime>
  <ScaleCrop>false</ScaleCrop>
  <LinksUpToDate>false</LinksUpToDate>
  <CharactersWithSpaces>3186</CharactersWithSpaces>
  <Application>WPS Office_12.1.0.15336_F1E327BC-269C-435d-A152-05C5408002CA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2021-08-31T07:29:00Z</dcterms:created>
  <dc:creator>Administrator</dc:creator>
  <cp:lastModifiedBy>白菜花</cp:lastModifiedBy>
  <dcterms:modified xsi:type="dcterms:W3CDTF">2023-10-03T06:24:31Z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2052-12.1.0.15336</vt:lpwstr>
  </property>
  <property fmtid="{D5CDD505-2E9C-101B-9397-08002B2CF9AE}" pid="3" name="ICV">
    <vt:lpwstr>8F3F567B3B0847208AB20FB20FC8A56D</vt:lpwstr>
  </property>
</Properties>
</file>