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/>
          <w:b/>
          <w:bCs/>
          <w:color w:val="000000"/>
          <w:sz w:val="44"/>
          <w:szCs w:val="44"/>
          <w:u w:val="none"/>
        </w:rPr>
      </w:pPr>
      <w:r>
        <w:rPr>
          <w:rFonts w:ascii="方正小标宋简体" w:hAnsi="仿宋_GB2312"/>
          <w:b/>
          <w:bCs/>
          <w:color w:val="000000"/>
          <w:sz w:val="44"/>
          <w:szCs w:val="44"/>
          <w:u w:val="none"/>
        </w:rPr>
        <w:t>2018年新晃侗族自治县推荐</w:t>
      </w:r>
      <w:r>
        <w:rPr>
          <w:rFonts w:hint="eastAsia" w:ascii="方正小标宋简体" w:hAnsi="仿宋_GB2312"/>
          <w:b/>
          <w:bCs/>
          <w:color w:val="000000"/>
          <w:sz w:val="44"/>
          <w:szCs w:val="44"/>
          <w:u w:val="none"/>
          <w:lang w:eastAsia="zh-CN"/>
        </w:rPr>
        <w:t>后备带头人</w:t>
      </w:r>
      <w:r>
        <w:rPr>
          <w:rFonts w:ascii="方正小标宋简体" w:hAnsi="方正小标宋简体"/>
          <w:b/>
          <w:bCs/>
          <w:color w:val="000000"/>
          <w:sz w:val="44"/>
          <w:szCs w:val="44"/>
          <w:u w:val="none"/>
        </w:rPr>
        <w:t>情况</w:t>
      </w:r>
      <w:r>
        <w:rPr>
          <w:rFonts w:hint="eastAsia" w:ascii="方正小标宋简体" w:hAnsi="方正小标宋简体"/>
          <w:b/>
          <w:bCs/>
          <w:color w:val="000000"/>
          <w:sz w:val="44"/>
          <w:szCs w:val="44"/>
          <w:u w:val="none"/>
          <w:lang w:eastAsia="zh-CN"/>
        </w:rPr>
        <w:t>公示</w:t>
      </w:r>
      <w:r>
        <w:rPr>
          <w:rFonts w:ascii="方正小标宋简体" w:hAnsi="方正小标宋简体"/>
          <w:b/>
          <w:bCs/>
          <w:color w:val="000000"/>
          <w:sz w:val="44"/>
          <w:szCs w:val="44"/>
          <w:u w:val="none"/>
        </w:rPr>
        <w:t>表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</w:rPr>
        <w:t>（公示时间：2018年11月14日至11月20日）</w:t>
      </w:r>
    </w:p>
    <w:p>
      <w:pPr>
        <w:ind w:firstLine="320" w:firstLineChars="100"/>
        <w:jc w:val="both"/>
        <w:rPr>
          <w:rFonts w:hint="eastAsia" w:ascii="仿宋_GB2312" w:hAnsi="仿宋_GB2312" w:eastAsia="宋体"/>
          <w:color w:val="000000"/>
          <w:sz w:val="32"/>
          <w:szCs w:val="32"/>
          <w:lang w:val="en-US" w:eastAsia="zh-CN"/>
        </w:rPr>
      </w:pPr>
      <w:r>
        <w:rPr>
          <w:rFonts w:ascii="仿宋_GB2312" w:hAnsi="仿宋_GB2312"/>
          <w:color w:val="000000"/>
          <w:sz w:val="32"/>
          <w:szCs w:val="32"/>
        </w:rPr>
        <w:t>单位：</w:t>
      </w:r>
      <w:r>
        <w:rPr>
          <w:rFonts w:hint="eastAsia" w:ascii="仿宋_GB2312" w:hAnsi="仿宋_GB2312"/>
          <w:color w:val="000000"/>
          <w:sz w:val="32"/>
          <w:szCs w:val="32"/>
          <w:lang w:eastAsia="zh-CN"/>
        </w:rPr>
        <w:t>新晃县教育局</w:t>
      </w:r>
      <w:r>
        <w:rPr>
          <w:rFonts w:ascii="仿宋_GB2312" w:hAnsi="仿宋_GB2312"/>
          <w:color w:val="000000"/>
          <w:sz w:val="32"/>
          <w:szCs w:val="32"/>
        </w:rPr>
        <w:t xml:space="preserve">         </w:t>
      </w:r>
    </w:p>
    <w:tbl>
      <w:tblPr>
        <w:tblStyle w:val="4"/>
        <w:tblW w:w="13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"/>
        <w:gridCol w:w="747"/>
        <w:gridCol w:w="905"/>
        <w:gridCol w:w="375"/>
        <w:gridCol w:w="944"/>
        <w:gridCol w:w="328"/>
        <w:gridCol w:w="592"/>
        <w:gridCol w:w="550"/>
        <w:gridCol w:w="554"/>
        <w:gridCol w:w="750"/>
        <w:gridCol w:w="992"/>
        <w:gridCol w:w="312"/>
        <w:gridCol w:w="1859"/>
        <w:gridCol w:w="4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姓  名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工作单位</w:t>
            </w:r>
          </w:p>
        </w:tc>
        <w:tc>
          <w:tcPr>
            <w:tcW w:w="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出生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日期</w:t>
            </w:r>
          </w:p>
        </w:tc>
        <w:tc>
          <w:tcPr>
            <w:tcW w:w="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政治面貌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行政职务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技术职称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学历(学位)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最高学历毕业学校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毕业时间</w:t>
            </w:r>
          </w:p>
        </w:tc>
        <w:tc>
          <w:tcPr>
            <w:tcW w:w="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学科/专业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突出贡献事迹</w:t>
            </w: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主要获奖情况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u w:val="none"/>
                <w:lang w:eastAsia="zh-CN"/>
              </w:rPr>
              <w:t>姚伦杰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晃州镇一完小</w:t>
            </w:r>
          </w:p>
        </w:tc>
        <w:tc>
          <w:tcPr>
            <w:tcW w:w="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 w:firstLine="132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19751014</w:t>
            </w:r>
          </w:p>
        </w:tc>
        <w:tc>
          <w:tcPr>
            <w:tcW w:w="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中小学一级教师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大专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湖南纺织职工大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学、汉语言教育教学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200306</w:t>
            </w:r>
          </w:p>
        </w:tc>
        <w:tc>
          <w:tcPr>
            <w:tcW w:w="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小学科学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近年来，获奖的作品获省一等奖1次，三等奖2次；获市一等奖4次，二等奖2次，三等奖2次；获县级奖多次；为此多次获市、县优秀辅导员称号。因本人引领的科学实践活动成效显著，一完小被授予省实践活动基地校。去年承担开发的把侗文化融入科学课堂课题，被列入国家级课题研究；教学上，多次获得“突出贡献奖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张利红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晃州镇一完小</w:t>
            </w:r>
          </w:p>
        </w:tc>
        <w:tc>
          <w:tcPr>
            <w:tcW w:w="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19790815</w:t>
            </w:r>
          </w:p>
        </w:tc>
        <w:tc>
          <w:tcPr>
            <w:tcW w:w="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中小学二级教师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大专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湖南师范大学、英语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200007</w:t>
            </w:r>
          </w:p>
        </w:tc>
        <w:tc>
          <w:tcPr>
            <w:tcW w:w="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英语教学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、2018年8月承办新晃县小学英语教师“素养提升”培训活动，并承担了题为《英语教师教育智慧》的专题讲座。2018年特聘为新晃县小学英语教师培训班的辅导老师；2014年英语组研究的“三效五步”课题获省级二等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ind w:left="-105" w:leftChars="-50" w:right="-105" w:rightChars="-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多次获得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获优秀教师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、先进教师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荣誉称号；</w:t>
            </w:r>
          </w:p>
          <w:p>
            <w:pPr>
              <w:spacing w:line="360" w:lineRule="exact"/>
              <w:ind w:left="-105" w:leftChars="-50" w:right="-105" w:rightChars="-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  <w:p>
            <w:pPr>
              <w:spacing w:line="360" w:lineRule="exact"/>
              <w:ind w:left="-105" w:leftChars="-50" w:right="-105" w:rightChars="-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杨凤柳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晃州镇一完小</w:t>
            </w:r>
          </w:p>
        </w:tc>
        <w:tc>
          <w:tcPr>
            <w:tcW w:w="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19790429</w:t>
            </w:r>
          </w:p>
        </w:tc>
        <w:tc>
          <w:tcPr>
            <w:tcW w:w="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中小学一级教师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大专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湘西民族教育学院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、英语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199707</w:t>
            </w:r>
          </w:p>
        </w:tc>
        <w:tc>
          <w:tcPr>
            <w:tcW w:w="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小学语文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2106年新晃县课改先进个人。2017年县师训工作先进个人。2017年12月录像课《齐桓公礼贤下士》获中国国学教育优质课比赛二等奖，2018年8月，参加现场赛课，执教的《魏文王问扁鹊说》获全国国学优质赛课一等奖.个人撰写的文章以及辅导学生习作在教育信息网上有多篇发表，撰写的论文省市获奖。组织参与国家级、省级、县级的课题研究,例如参与国家级的科学课题研究，省级课题《中华经典海读与小学语文课堂相融合》的主持人，县级课题《中低年级的的预习策略研究》主持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杨星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晃州镇第一完全小学</w:t>
            </w:r>
          </w:p>
        </w:tc>
        <w:tc>
          <w:tcPr>
            <w:tcW w:w="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19750710</w:t>
            </w:r>
          </w:p>
        </w:tc>
        <w:tc>
          <w:tcPr>
            <w:tcW w:w="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中小学二级教师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大专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湖南第一师范学院、初等教育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200701</w:t>
            </w:r>
          </w:p>
        </w:tc>
        <w:tc>
          <w:tcPr>
            <w:tcW w:w="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小学音乐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 xml:space="preserve">辅导青年教师：覃维琪，音乐公开课《我心爱的小马车》、《拥军秧歌》多次荣获国家级、省级一等奖。 </w:t>
            </w:r>
          </w:p>
          <w:p>
            <w:pPr>
              <w:spacing w:line="360" w:lineRule="exact"/>
              <w:ind w:left="-105" w:leftChars="-50" w:right="-105" w:rightChars="-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2017国培“小学音乐教师省级工作坊研修班”优秀学员；《爱唱歌的小杜鹃》教学设计获一等奖；本人撰写的论文《浅谈音乐教学中的三心》.《小学音乐教学随感&gt;&gt;多次荣获市一等奖；个人音乐公开课送市参赛。</w:t>
            </w:r>
          </w:p>
          <w:p>
            <w:pPr>
              <w:spacing w:line="360" w:lineRule="exact"/>
              <w:ind w:left="-105" w:leftChars="-50" w:right="-105" w:rightChars="-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指导学生参加第13届中国特长生展演，群舞《称砣砣》荣获特金奖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3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成秋红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新晃县幼儿园</w:t>
            </w:r>
          </w:p>
        </w:tc>
        <w:tc>
          <w:tcPr>
            <w:tcW w:w="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1981—09—23</w:t>
            </w:r>
          </w:p>
        </w:tc>
        <w:tc>
          <w:tcPr>
            <w:tcW w:w="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党员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中小学一级教师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本科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本科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中南民族大学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200801</w:t>
            </w:r>
          </w:p>
        </w:tc>
        <w:tc>
          <w:tcPr>
            <w:tcW w:w="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英语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爱生如子、爱园如家，勤勤恳恳、兢兢业业，将自己的青春奉献于幼教事业上。</w:t>
            </w: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在单位的各项评比中均获优秀；曾多次被新晃县教育局评为“优秀班主任”，受新晃县人民政府“嘉奖奖励”。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8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蒲雪林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新晃思源实验学校</w:t>
            </w:r>
          </w:p>
        </w:tc>
        <w:tc>
          <w:tcPr>
            <w:tcW w:w="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1981.01</w:t>
            </w:r>
          </w:p>
        </w:tc>
        <w:tc>
          <w:tcPr>
            <w:tcW w:w="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党员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德育处主任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中小学一级教师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湖南文理学院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2011.06.30</w:t>
            </w:r>
          </w:p>
        </w:tc>
        <w:tc>
          <w:tcPr>
            <w:tcW w:w="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思想政治教育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德育管理、教育教学以及德育课题研究</w:t>
            </w: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分管德育工作（县级：1次）（市级：6次）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教学评比获奖县级三次、市级二次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5" w:hRule="atLeast"/>
        </w:trPr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姚慧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兴隆完全小学</w:t>
            </w:r>
          </w:p>
        </w:tc>
        <w:tc>
          <w:tcPr>
            <w:tcW w:w="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1982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1219</w:t>
            </w:r>
          </w:p>
        </w:tc>
        <w:tc>
          <w:tcPr>
            <w:tcW w:w="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中共党员</w:t>
            </w:r>
          </w:p>
        </w:tc>
        <w:tc>
          <w:tcPr>
            <w:tcW w:w="5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学校工会主席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中小学一级教师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本科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湖南师范大学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200812</w:t>
            </w:r>
          </w:p>
        </w:tc>
        <w:tc>
          <w:tcPr>
            <w:tcW w:w="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汉语言文学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从教17年,她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长期担任班主任，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热爱教育，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关爱学生，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更新理念，投身教改，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做好教研，提升专业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创新模式 管好班级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以饱满的热情、求真务实的工作态度,圆满完成了学校交办的各项教育教学任务,受到了领导、同事的一致好评,得到学生家长及社会的高度赞誉,连续几年年度考核为“优秀”等次。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40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2009年5月辅导杨浩南的科学论文《小南瓜的怪现象》荣获市三等奖；2010年5月辅导姚亚的论文《大蒜的秘密》荣获县一等奖；2014年辅导杨子萱写的《美丽中国 我的中国梦》征文获国家教育部三等奖；2017年所带班级六（5）班被评为县先进中队；2017年辅导全班学生的《调查公路安全警示牌标识的实践活动》作品获市科技实践活动大赛二等奖；2018年辅导吴晓芳写的《红旗飘飘，引我成长》征文获国家教育部二等奖，辅导余柳霖写的《红旗飘飘，引我成长》征文获国家教育部三等奖；2018年6月辅导学生廖明涛《神奇的检测手套》荣获县科技竞赛二等奖。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</w:tbl>
    <w:p>
      <w:pPr>
        <w:spacing w:line="590" w:lineRule="exact"/>
        <w:rPr>
          <w:rFonts w:hint="eastAsia" w:ascii="仿宋_GB2312" w:hAnsi="黑体" w:eastAsia="仿宋_GB2312"/>
          <w:color w:val="000000"/>
          <w:sz w:val="18"/>
          <w:szCs w:val="18"/>
        </w:rPr>
      </w:pPr>
    </w:p>
    <w:p>
      <w:pPr>
        <w:spacing w:line="590" w:lineRule="exact"/>
        <w:rPr>
          <w:rFonts w:hint="eastAsia" w:ascii="仿宋_GB2312" w:hAnsi="黑体" w:eastAsia="仿宋_GB2312"/>
          <w:color w:val="000000"/>
          <w:sz w:val="18"/>
          <w:szCs w:val="18"/>
        </w:rPr>
      </w:pPr>
    </w:p>
    <w:p>
      <w:pPr>
        <w:spacing w:line="590" w:lineRule="exact"/>
        <w:rPr>
          <w:rFonts w:hint="eastAsia" w:ascii="仿宋_GB2312" w:hAnsi="黑体" w:eastAsia="仿宋_GB2312"/>
          <w:color w:val="000000"/>
          <w:sz w:val="18"/>
          <w:szCs w:val="18"/>
        </w:rPr>
      </w:pPr>
    </w:p>
    <w:p>
      <w:pPr>
        <w:spacing w:line="590" w:lineRule="exact"/>
        <w:rPr>
          <w:rFonts w:hint="eastAsia" w:ascii="仿宋_GB2312" w:hAnsi="黑体" w:eastAsia="仿宋_GB2312"/>
          <w:color w:val="000000"/>
          <w:sz w:val="18"/>
          <w:szCs w:val="18"/>
        </w:rPr>
      </w:pPr>
    </w:p>
    <w:tbl>
      <w:tblPr>
        <w:tblStyle w:val="4"/>
        <w:tblW w:w="1391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822"/>
        <w:gridCol w:w="900"/>
        <w:gridCol w:w="345"/>
        <w:gridCol w:w="990"/>
        <w:gridCol w:w="315"/>
        <w:gridCol w:w="615"/>
        <w:gridCol w:w="525"/>
        <w:gridCol w:w="585"/>
        <w:gridCol w:w="750"/>
        <w:gridCol w:w="960"/>
        <w:gridCol w:w="300"/>
        <w:gridCol w:w="1875"/>
        <w:gridCol w:w="4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37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82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黄立明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兴隆小学</w:t>
            </w:r>
          </w:p>
        </w:tc>
        <w:tc>
          <w:tcPr>
            <w:tcW w:w="34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1973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1015</w:t>
            </w:r>
          </w:p>
        </w:tc>
        <w:tc>
          <w:tcPr>
            <w:tcW w:w="31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中共党员</w:t>
            </w:r>
          </w:p>
        </w:tc>
        <w:tc>
          <w:tcPr>
            <w:tcW w:w="61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52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中小学一级</w:t>
            </w:r>
          </w:p>
        </w:tc>
        <w:tc>
          <w:tcPr>
            <w:tcW w:w="58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大专</w:t>
            </w:r>
          </w:p>
        </w:tc>
        <w:tc>
          <w:tcPr>
            <w:tcW w:w="75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怀化学院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2003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初等教育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2005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月至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2006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月，赴米贝小学支教，被评为优秀支教教师。</w:t>
            </w:r>
          </w:p>
        </w:tc>
        <w:tc>
          <w:tcPr>
            <w:tcW w:w="4560" w:type="dxa"/>
            <w:vAlign w:val="center"/>
          </w:tcPr>
          <w:p>
            <w:pPr>
              <w:spacing w:line="36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被新晃县总工会评为“最佳教育工作者”；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多次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被县人民政府评为“优秀教师”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“支教先进个人”；多次被兴隆镇政府评为“优秀共产党员”、“优秀教师”、“教学能手”、“师德标兵”。撰写多篇论文获省、市级奖，多次获国家级、省级、县级优秀辅导奖；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多次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获市、县级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辅导奖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参加省教育厅中小学教师信息技术与学科融合在线集体备课大赛中，我参与的团队荣获一等奖，教学设计和视频课《百分数的初步认识》获一等奖。年度考核多次被评为优秀。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0" w:hRule="atLeast"/>
        </w:trPr>
        <w:tc>
          <w:tcPr>
            <w:tcW w:w="37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2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姚润菊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兴隆小学</w:t>
            </w:r>
          </w:p>
        </w:tc>
        <w:tc>
          <w:tcPr>
            <w:tcW w:w="34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99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19791229</w:t>
            </w:r>
          </w:p>
        </w:tc>
        <w:tc>
          <w:tcPr>
            <w:tcW w:w="31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群众</w:t>
            </w:r>
          </w:p>
        </w:tc>
        <w:tc>
          <w:tcPr>
            <w:tcW w:w="61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52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中小学一级</w:t>
            </w:r>
          </w:p>
        </w:tc>
        <w:tc>
          <w:tcPr>
            <w:tcW w:w="58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大专</w:t>
            </w:r>
          </w:p>
        </w:tc>
        <w:tc>
          <w:tcPr>
            <w:tcW w:w="75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湘西民族教育学院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2003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0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英语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456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2009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年小学英语能力竞赛辅导奖一等奖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2010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2011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2012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年小学英语能力竞赛辅导奖三等奖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2013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年英语朗读比赛优秀辅导奖。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2013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年中小学学科知识竞赛（六年级英语）辅导奖一等奖</w:t>
            </w:r>
          </w:p>
          <w:p>
            <w:pPr>
              <w:spacing w:line="3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2014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年中小学学科知识竞赛（六年级英语）辅导奖二等奖</w:t>
            </w:r>
          </w:p>
        </w:tc>
      </w:tr>
    </w:tbl>
    <w:p>
      <w:pPr>
        <w:spacing w:line="590" w:lineRule="exact"/>
        <w:rPr>
          <w:rFonts w:hint="eastAsia" w:ascii="仿宋_GB2312" w:hAnsi="黑体" w:eastAsia="仿宋_GB2312"/>
          <w:color w:val="000000"/>
          <w:sz w:val="18"/>
          <w:szCs w:val="18"/>
        </w:rPr>
      </w:pPr>
      <w:bookmarkStart w:id="0" w:name="_GoBack"/>
      <w:bookmarkEnd w:id="0"/>
    </w:p>
    <w:p>
      <w:pPr>
        <w:spacing w:line="20" w:lineRule="exact"/>
        <w:ind w:firstLine="640" w:firstLineChars="200"/>
        <w:rPr>
          <w:rFonts w:ascii="仿宋_GB2312" w:hAnsi="仿宋_GB2312"/>
          <w:color w:val="000000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2B"/>
    <w:rsid w:val="000E0737"/>
    <w:rsid w:val="00264664"/>
    <w:rsid w:val="00425D2A"/>
    <w:rsid w:val="009B0D17"/>
    <w:rsid w:val="009E5A9B"/>
    <w:rsid w:val="00F10A2B"/>
    <w:rsid w:val="07FF5455"/>
    <w:rsid w:val="0CEE7F40"/>
    <w:rsid w:val="0FCB7F74"/>
    <w:rsid w:val="14513461"/>
    <w:rsid w:val="14722C01"/>
    <w:rsid w:val="150E6111"/>
    <w:rsid w:val="16B96BB3"/>
    <w:rsid w:val="1AC816B1"/>
    <w:rsid w:val="1D917451"/>
    <w:rsid w:val="1F641CCB"/>
    <w:rsid w:val="32FA16C0"/>
    <w:rsid w:val="358B7B9E"/>
    <w:rsid w:val="4AEA5E7E"/>
    <w:rsid w:val="4B5B37D2"/>
    <w:rsid w:val="51A036E5"/>
    <w:rsid w:val="533662FE"/>
    <w:rsid w:val="54C53D8F"/>
    <w:rsid w:val="58163B6B"/>
    <w:rsid w:val="5977606F"/>
    <w:rsid w:val="63A15C86"/>
    <w:rsid w:val="64960D22"/>
    <w:rsid w:val="6C23254F"/>
    <w:rsid w:val="709A1033"/>
    <w:rsid w:val="72395634"/>
    <w:rsid w:val="7530696D"/>
    <w:rsid w:val="754027C3"/>
    <w:rsid w:val="76741BD1"/>
    <w:rsid w:val="769F08A8"/>
    <w:rsid w:val="7AB53507"/>
    <w:rsid w:val="7BAA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</Words>
  <Characters>355</Characters>
  <Lines>2</Lines>
  <Paragraphs>1</Paragraphs>
  <TotalTime>1</TotalTime>
  <ScaleCrop>false</ScaleCrop>
  <LinksUpToDate>false</LinksUpToDate>
  <CharactersWithSpaces>416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2018-10-10T07:08:00Z</dcterms:created>
  <dc:creator>Administrator</dc:creator>
  <cp:lastModifiedBy>Administrator</cp:lastModifiedBy>
  <cp:lastPrinted>2018-10-15T06:31:00Z</cp:lastPrinted>
  <dcterms:modified xsi:type="dcterms:W3CDTF">2018-11-16T07:41:15Z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