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72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6"/>
          <w:szCs w:val="36"/>
        </w:rPr>
      </w:pPr>
      <w:r>
        <w:rPr>
          <w:rFonts w:hint="eastAsia" w:hAnsi="黑体" w:cs="黑体"/>
          <w:b w:val="0"/>
          <w:bCs/>
          <w:sz w:val="36"/>
          <w:szCs w:val="36"/>
          <w:lang w:val="en-US" w:eastAsia="zh-CN"/>
        </w:rPr>
        <w:t>商务科技和工业信息化局</w:t>
      </w:r>
      <w:r>
        <w:rPr>
          <w:rFonts w:hint="eastAsia" w:ascii="黑体" w:hAnsi="黑体" w:eastAsia="黑体" w:cs="黑体"/>
          <w:b w:val="0"/>
          <w:bCs/>
          <w:sz w:val="36"/>
          <w:szCs w:val="36"/>
        </w:rPr>
        <w:t>关于</w:t>
      </w:r>
      <w:r>
        <w:rPr>
          <w:rFonts w:hint="eastAsia" w:ascii="Times New Roman" w:hAnsi="Times New Roman" w:eastAsia="仿宋_GB2312"/>
          <w:sz w:val="36"/>
          <w:szCs w:val="36"/>
        </w:rPr>
        <w:t>202</w:t>
      </w:r>
      <w:r>
        <w:rPr>
          <w:rFonts w:hint="eastAsia" w:ascii="Times New Roman" w:hAnsi="Times New Roman" w:eastAsia="仿宋_GB2312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bCs/>
          <w:sz w:val="36"/>
          <w:szCs w:val="36"/>
        </w:rPr>
        <w:t>年度预算绩效情况的说明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（一）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>部门整体支出绩效情况</w:t>
      </w:r>
    </w:p>
    <w:p>
      <w:pPr>
        <w:pStyle w:val="4"/>
        <w:ind w:firstLine="640" w:firstLineChars="200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2022年初财政批复部门预算</w:t>
      </w:r>
      <w:r>
        <w:rPr>
          <w:rFonts w:hint="eastAsia" w:ascii="仿宋_GB2312" w:hAnsi="宋体" w:eastAsia="仿宋_GB2312"/>
          <w:sz w:val="32"/>
          <w:szCs w:val="32"/>
        </w:rPr>
        <w:t>963.39</w:t>
      </w:r>
      <w:r>
        <w:rPr>
          <w:rFonts w:hint="eastAsia" w:ascii="仿宋_GB2312" w:hAnsi="宋体" w:eastAsia="仿宋_GB2312" w:cs="仿宋_GB2312"/>
          <w:sz w:val="32"/>
          <w:szCs w:val="32"/>
        </w:rPr>
        <w:t>万元，支出</w:t>
      </w:r>
      <w:r>
        <w:rPr>
          <w:rFonts w:hint="eastAsia" w:ascii="仿宋_GB2312" w:hAnsi="宋体" w:eastAsia="仿宋_GB2312"/>
          <w:sz w:val="32"/>
          <w:szCs w:val="32"/>
        </w:rPr>
        <w:t>963.39</w:t>
      </w:r>
      <w:r>
        <w:rPr>
          <w:rFonts w:hint="eastAsia" w:ascii="仿宋_GB2312" w:hAnsi="宋体" w:eastAsia="仿宋_GB2312" w:cs="仿宋_GB2312"/>
          <w:sz w:val="32"/>
          <w:szCs w:val="32"/>
        </w:rPr>
        <w:t>万元。</w:t>
      </w:r>
    </w:p>
    <w:p>
      <w:pPr>
        <w:pStyle w:val="4"/>
        <w:ind w:firstLine="640" w:firstLineChars="200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2022年实际总收入</w:t>
      </w:r>
      <w:r>
        <w:rPr>
          <w:rFonts w:hint="eastAsia" w:ascii="仿宋_GB2312" w:hAnsi="宋体" w:eastAsia="仿宋_GB2312"/>
          <w:sz w:val="32"/>
          <w:szCs w:val="32"/>
        </w:rPr>
        <w:t>2140.99</w:t>
      </w:r>
      <w:r>
        <w:rPr>
          <w:rFonts w:hint="eastAsia" w:ascii="仿宋_GB2312" w:hAnsi="宋体" w:eastAsia="仿宋_GB2312" w:cs="仿宋_GB2312"/>
          <w:sz w:val="32"/>
          <w:szCs w:val="32"/>
        </w:rPr>
        <w:t>万元，全部为财政拨款收入。2022年度总支出</w:t>
      </w:r>
      <w:r>
        <w:rPr>
          <w:rFonts w:hint="eastAsia" w:ascii="仿宋_GB2312" w:hAnsi="宋体" w:eastAsia="仿宋_GB2312"/>
          <w:sz w:val="32"/>
          <w:szCs w:val="32"/>
        </w:rPr>
        <w:t>2140.99</w:t>
      </w:r>
      <w:r>
        <w:rPr>
          <w:rFonts w:hint="eastAsia" w:ascii="仿宋_GB2312" w:hAnsi="宋体" w:eastAsia="仿宋_GB2312" w:cs="仿宋_GB2312"/>
          <w:sz w:val="32"/>
          <w:szCs w:val="32"/>
        </w:rPr>
        <w:t>万元，其中：基本支出1286.22（人员经费1140.11万元，公用经费146.11万元），项目支出854.77万元。无年末结转。</w:t>
      </w:r>
    </w:p>
    <w:p>
      <w:pPr>
        <w:pStyle w:val="4"/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2022年我局整体绩效目标：推进招商引资、工业、科技等健康发展。一年来全局</w:t>
      </w:r>
      <w:r>
        <w:rPr>
          <w:rFonts w:hint="eastAsia" w:ascii="仿宋_GB2312" w:hAnsi="宋体" w:eastAsia="仿宋_GB2312" w:cs="仿宋_GB2312"/>
          <w:sz w:val="32"/>
          <w:szCs w:val="32"/>
          <w:lang w:val="zh-TW" w:eastAsia="zh-TW"/>
        </w:rPr>
        <w:t>坚持以习近平新时代中国特色社会主义思想为指导，认真学习贯彻落实党的</w:t>
      </w:r>
      <w:r>
        <w:rPr>
          <w:rFonts w:hint="eastAsia" w:ascii="仿宋_GB2312" w:hAnsi="宋体" w:eastAsia="仿宋_GB2312" w:cs="仿宋_GB2312"/>
          <w:sz w:val="32"/>
          <w:szCs w:val="32"/>
        </w:rPr>
        <w:t>二十</w:t>
      </w:r>
      <w:r>
        <w:rPr>
          <w:rFonts w:hint="eastAsia" w:ascii="仿宋_GB2312" w:hAnsi="宋体" w:eastAsia="仿宋_GB2312" w:cs="仿宋_GB2312"/>
          <w:sz w:val="32"/>
          <w:szCs w:val="32"/>
          <w:lang w:val="zh-TW" w:eastAsia="zh-TW"/>
        </w:rPr>
        <w:t>大和省、市、县相关会议精神，按照</w:t>
      </w:r>
      <w:r>
        <w:rPr>
          <w:rFonts w:hint="eastAsia" w:ascii="仿宋_GB2312" w:hAnsi="宋体" w:eastAsia="仿宋_GB2312" w:cs="仿宋_GB2312"/>
          <w:sz w:val="32"/>
          <w:szCs w:val="32"/>
        </w:rPr>
        <w:t>“</w:t>
      </w:r>
      <w:r>
        <w:rPr>
          <w:rFonts w:hint="eastAsia" w:ascii="仿宋_GB2312" w:hAnsi="宋体" w:eastAsia="仿宋_GB2312" w:cs="仿宋_GB2312"/>
          <w:sz w:val="32"/>
          <w:szCs w:val="32"/>
          <w:lang w:val="zh-TW" w:eastAsia="zh-TW"/>
        </w:rPr>
        <w:t>强工壮农、兴城活旅、生态和谐、协调发展</w:t>
      </w:r>
      <w:r>
        <w:rPr>
          <w:rFonts w:hint="eastAsia" w:ascii="仿宋_GB2312" w:hAnsi="宋体" w:eastAsia="仿宋_GB2312" w:cs="仿宋_GB2312"/>
          <w:sz w:val="32"/>
          <w:szCs w:val="32"/>
        </w:rPr>
        <w:t>”</w:t>
      </w:r>
      <w:r>
        <w:rPr>
          <w:rFonts w:hint="eastAsia" w:ascii="仿宋_GB2312" w:hAnsi="宋体" w:eastAsia="仿宋_GB2312" w:cs="仿宋_GB2312"/>
          <w:sz w:val="32"/>
          <w:szCs w:val="32"/>
          <w:lang w:val="zh-TW" w:eastAsia="zh-TW"/>
        </w:rPr>
        <w:t>总体要求，统筹推进稳增长、促改革、调结构、惠民生、防风险各项工作，促进经济社会持续健康发展，为努力开创</w:t>
      </w:r>
      <w:r>
        <w:rPr>
          <w:rFonts w:hint="eastAsia" w:ascii="仿宋_GB2312" w:hAnsi="宋体" w:eastAsia="仿宋_GB2312" w:cs="仿宋_GB2312"/>
          <w:sz w:val="32"/>
          <w:szCs w:val="32"/>
        </w:rPr>
        <w:t>“</w:t>
      </w:r>
      <w:r>
        <w:rPr>
          <w:rFonts w:hint="eastAsia" w:ascii="仿宋_GB2312" w:hAnsi="宋体" w:eastAsia="仿宋_GB2312" w:cs="仿宋_GB2312"/>
          <w:sz w:val="32"/>
          <w:szCs w:val="32"/>
          <w:lang w:val="zh-TW" w:eastAsia="zh-TW"/>
        </w:rPr>
        <w:t>一个阵地、五个新晃</w:t>
      </w:r>
      <w:r>
        <w:rPr>
          <w:rFonts w:hint="eastAsia" w:ascii="仿宋_GB2312" w:hAnsi="宋体" w:eastAsia="仿宋_GB2312" w:cs="仿宋_GB2312"/>
          <w:sz w:val="32"/>
          <w:szCs w:val="32"/>
        </w:rPr>
        <w:t>”</w:t>
      </w:r>
      <w:r>
        <w:rPr>
          <w:rFonts w:hint="eastAsia" w:ascii="仿宋_GB2312" w:hAnsi="宋体" w:eastAsia="仿宋_GB2312" w:cs="仿宋_GB2312"/>
          <w:sz w:val="32"/>
          <w:szCs w:val="32"/>
          <w:lang w:val="zh-TW" w:eastAsia="zh-TW"/>
        </w:rPr>
        <w:t>建设新局面提供有力的保障</w:t>
      </w:r>
      <w:r>
        <w:rPr>
          <w:rFonts w:hint="eastAsia" w:ascii="仿宋_GB2312" w:hAnsi="宋体" w:eastAsia="仿宋_GB2312" w:cs="仿宋_GB2312"/>
          <w:sz w:val="32"/>
          <w:szCs w:val="32"/>
          <w:lang w:val="zh-TW"/>
        </w:rPr>
        <w:t>。</w:t>
      </w:r>
      <w:r>
        <w:rPr>
          <w:rFonts w:hint="eastAsia" w:ascii="仿宋_GB2312" w:hAnsi="宋体" w:eastAsia="仿宋_GB2312" w:cs="仿宋_GB2312"/>
          <w:sz w:val="32"/>
          <w:szCs w:val="32"/>
          <w:shd w:val="clear" w:color="auto" w:fill="FFFFFF"/>
        </w:rPr>
        <w:t>较好的完成了本年绩效目标任务。服务企业及服务群众对开展的工作满意。</w:t>
      </w:r>
    </w:p>
    <w:p>
      <w:pPr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bookmarkStart w:id="0" w:name="_GoBack"/>
      <w:bookmarkEnd w:id="0"/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>存在的问题及原因分析</w:t>
      </w:r>
    </w:p>
    <w:p>
      <w:pPr>
        <w:spacing w:line="560" w:lineRule="exact"/>
        <w:ind w:firstLine="640" w:firstLineChars="200"/>
        <w:jc w:val="left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</w:rPr>
        <w:t>预算编制前根据年度内单位可预见的工作任务，确定了单位的年度预算目标，细化了预算指标，但是在实际支付过程中，个别时候未严格按照预算指标执行。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在以后的工作中应该注意以下几点：</w:t>
      </w:r>
    </w:p>
    <w:p>
      <w:pPr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1、加强学习，提高思想认识。组织单位财务人员认真学习《预算法》等相关法规、规章、制度，提高单位领导对全面预算管理的重视程度，增强财务人员的预算意识。</w:t>
      </w:r>
    </w:p>
    <w:p>
      <w:pPr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2、严格管理，控制“三公”经费和公用经费支出。认真贯彻落实中央八项规定和市委、县委规定，严格按照规定开支有关经费，确保单位“三公”经费只减不增。</w:t>
      </w:r>
    </w:p>
    <w:p>
      <w:pPr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3、规范财务运行，加强预算支出管理。严格遵循“先有预算，后有支出”的原则，建立健全并严格执行各项资金使用管理制度，建立内部控制制度。严格落实会计核算、报销审批制度，加强对资金使用环节的监督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2MjIxNTdjNDY0Yjg3NjdjNjlhMzY4NThlYWIwYzgifQ=="/>
  </w:docVars>
  <w:rsids>
    <w:rsidRoot w:val="00000000"/>
    <w:rsid w:val="0004290C"/>
    <w:rsid w:val="7273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子落</cp:lastModifiedBy>
  <dcterms:modified xsi:type="dcterms:W3CDTF">2023-10-31T02:05:20Z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12A71744045445B687D66BD13FB312DC_12</vt:lpwstr>
  </property>
</Properties>
</file>