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hAnsi="黑体" w:eastAsia="黑体" w:cs="黑体"/>
          <w:b/>
          <w:sz w:val="36"/>
          <w:szCs w:val="36"/>
        </w:rPr>
      </w:pPr>
      <w:bookmarkStart w:id="0" w:name="_GoBack"/>
      <w:bookmarkEnd w:id="0"/>
      <w:r>
        <w:rPr>
          <w:rFonts w:hint="eastAsia" w:ascii="黑体" w:hAnsi="黑体" w:eastAsia="黑体" w:cs="黑体"/>
          <w:b/>
          <w:sz w:val="36"/>
          <w:szCs w:val="36"/>
        </w:rPr>
        <w:t>20</w:t>
      </w:r>
      <w:r>
        <w:rPr>
          <w:rFonts w:hint="eastAsia" w:ascii="黑体" w:hAnsi="黑体" w:eastAsia="黑体" w:cs="黑体"/>
          <w:b/>
          <w:sz w:val="36"/>
          <w:szCs w:val="36"/>
          <w:lang w:val="en-US" w:eastAsia="zh-CN"/>
        </w:rPr>
        <w:t>23</w:t>
      </w:r>
      <w:r>
        <w:rPr>
          <w:rFonts w:hint="eastAsia" w:ascii="黑体" w:hAnsi="黑体" w:eastAsia="黑体" w:cs="黑体"/>
          <w:b/>
          <w:sz w:val="36"/>
          <w:szCs w:val="36"/>
        </w:rPr>
        <w:t>年</w:t>
      </w:r>
      <w:r>
        <w:rPr>
          <w:rFonts w:hint="eastAsia" w:ascii="黑体" w:hAnsi="黑体" w:eastAsia="黑体" w:cs="黑体"/>
          <w:b/>
          <w:sz w:val="36"/>
          <w:szCs w:val="36"/>
          <w:lang w:eastAsia="zh-CN"/>
        </w:rPr>
        <w:t>度发改局项目支出绩效自评报告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center"/>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（重点项目工作经费）</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eastAsia" w:ascii="仿宋_GB2312" w:eastAsia="仿宋_GB2312"/>
          <w:kern w:val="0"/>
          <w:sz w:val="32"/>
          <w:szCs w:val="32"/>
          <w:lang w:eastAsia="zh-CN"/>
        </w:rPr>
        <w:t>为进一步规范资金管理，强化部门支出责任意识，提高财政资源配置效率和使用效益，根据《新晃侗族自治县财政局关于开展</w:t>
      </w:r>
      <w:r>
        <w:rPr>
          <w:rFonts w:hint="eastAsia" w:ascii="仿宋_GB2312" w:eastAsia="仿宋_GB2312"/>
          <w:kern w:val="0"/>
          <w:sz w:val="32"/>
          <w:szCs w:val="32"/>
          <w:lang w:val="en-US" w:eastAsia="zh-CN"/>
        </w:rPr>
        <w:t>2023年度部门预算支出绩效自评工作的通知</w:t>
      </w:r>
      <w:r>
        <w:rPr>
          <w:rFonts w:hint="eastAsia" w:ascii="仿宋_GB2312" w:eastAsia="仿宋_GB2312"/>
          <w:kern w:val="0"/>
          <w:sz w:val="32"/>
          <w:szCs w:val="32"/>
          <w:lang w:eastAsia="zh-CN"/>
        </w:rPr>
        <w:t>》（晃财绩</w:t>
      </w:r>
      <w:r>
        <w:rPr>
          <w:rFonts w:hint="default" w:ascii="仿宋_GB2312" w:eastAsia="仿宋_GB2312"/>
          <w:kern w:val="0"/>
          <w:sz w:val="32"/>
          <w:szCs w:val="32"/>
          <w:lang w:eastAsia="zh-CN"/>
        </w:rPr>
        <w:t>〔202</w:t>
      </w:r>
      <w:r>
        <w:rPr>
          <w:rFonts w:hint="eastAsia" w:ascii="仿宋_GB2312" w:eastAsia="仿宋_GB2312"/>
          <w:kern w:val="0"/>
          <w:sz w:val="32"/>
          <w:szCs w:val="32"/>
          <w:lang w:val="en-US" w:eastAsia="zh-CN"/>
        </w:rPr>
        <w:t>3</w:t>
      </w:r>
      <w:r>
        <w:rPr>
          <w:rFonts w:hint="default" w:ascii="仿宋_GB2312" w:eastAsia="仿宋_GB2312"/>
          <w:kern w:val="0"/>
          <w:sz w:val="32"/>
          <w:szCs w:val="32"/>
          <w:lang w:eastAsia="zh-CN"/>
        </w:rPr>
        <w:t>〕</w:t>
      </w:r>
      <w:r>
        <w:rPr>
          <w:rFonts w:hint="eastAsia" w:ascii="仿宋_GB2312" w:eastAsia="仿宋_GB2312"/>
          <w:kern w:val="0"/>
          <w:sz w:val="32"/>
          <w:szCs w:val="32"/>
          <w:lang w:val="en-US" w:eastAsia="zh-CN"/>
        </w:rPr>
        <w:t>24</w:t>
      </w:r>
      <w:r>
        <w:rPr>
          <w:rFonts w:hint="default" w:ascii="仿宋_GB2312" w:eastAsia="仿宋_GB2312"/>
          <w:kern w:val="0"/>
          <w:sz w:val="32"/>
          <w:szCs w:val="32"/>
          <w:lang w:eastAsia="zh-CN"/>
        </w:rPr>
        <w:t>号）</w:t>
      </w:r>
      <w:r>
        <w:rPr>
          <w:rFonts w:hint="eastAsia" w:ascii="仿宋_GB2312" w:eastAsia="仿宋_GB2312"/>
          <w:kern w:val="0"/>
          <w:sz w:val="32"/>
          <w:szCs w:val="32"/>
          <w:lang w:eastAsia="zh-CN"/>
        </w:rPr>
        <w:t>文件要求，我单位认真开展预算支出绩效自评工作。现将自评情况报告如下：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一、项目</w:t>
      </w:r>
      <w:r>
        <w:rPr>
          <w:rFonts w:hint="eastAsia" w:asciiTheme="minorEastAsia" w:hAnsiTheme="minorEastAsia" w:eastAsiaTheme="minorEastAsia" w:cstheme="minorEastAsia"/>
          <w:b/>
          <w:bCs/>
          <w:sz w:val="28"/>
          <w:szCs w:val="28"/>
          <w:lang w:eastAsia="zh-CN"/>
        </w:rPr>
        <w:t>支出</w:t>
      </w:r>
      <w:r>
        <w:rPr>
          <w:rFonts w:hint="eastAsia" w:asciiTheme="minorEastAsia" w:hAnsiTheme="minorEastAsia" w:eastAsiaTheme="minorEastAsia" w:cstheme="minorEastAsia"/>
          <w:b/>
          <w:bCs/>
          <w:sz w:val="28"/>
          <w:szCs w:val="28"/>
        </w:rPr>
        <w:t>基本情况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（一）项目概况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eastAsia="zh-CN"/>
        </w:rPr>
        <w:t>专项业务预算资金</w:t>
      </w:r>
      <w:r>
        <w:rPr>
          <w:rFonts w:hint="eastAsia" w:ascii="仿宋_GB2312" w:eastAsia="仿宋_GB2312"/>
          <w:kern w:val="0"/>
          <w:sz w:val="32"/>
          <w:szCs w:val="32"/>
          <w:lang w:val="en-US" w:eastAsia="zh-CN"/>
        </w:rPr>
        <w:t>20</w:t>
      </w:r>
      <w:r>
        <w:rPr>
          <w:rFonts w:hint="eastAsia" w:ascii="仿宋_GB2312" w:eastAsia="仿宋_GB2312"/>
          <w:kern w:val="0"/>
          <w:sz w:val="32"/>
          <w:szCs w:val="32"/>
          <w:lang w:eastAsia="zh-CN"/>
        </w:rPr>
        <w:t>万元。截至</w:t>
      </w:r>
      <w:r>
        <w:rPr>
          <w:rFonts w:hint="eastAsia" w:ascii="仿宋_GB2312" w:eastAsia="仿宋_GB2312"/>
          <w:kern w:val="0"/>
          <w:sz w:val="32"/>
          <w:szCs w:val="32"/>
          <w:lang w:val="en-US" w:eastAsia="zh-CN"/>
        </w:rPr>
        <w:t>2023年末</w:t>
      </w:r>
      <w:r>
        <w:rPr>
          <w:rFonts w:hint="eastAsia" w:ascii="仿宋_GB2312" w:eastAsia="仿宋_GB2312"/>
          <w:kern w:val="0"/>
          <w:sz w:val="32"/>
          <w:szCs w:val="32"/>
          <w:lang w:eastAsia="zh-CN"/>
        </w:rPr>
        <w:t>实际支出</w:t>
      </w:r>
      <w:r>
        <w:rPr>
          <w:rFonts w:hint="eastAsia" w:ascii="仿宋_GB2312" w:eastAsia="仿宋_GB2312"/>
          <w:kern w:val="0"/>
          <w:sz w:val="32"/>
          <w:szCs w:val="32"/>
          <w:lang w:val="en-US" w:eastAsia="zh-CN"/>
        </w:rPr>
        <w:t>20万元</w:t>
      </w:r>
      <w:r>
        <w:rPr>
          <w:rFonts w:hint="eastAsia" w:ascii="仿宋_GB2312" w:eastAsia="仿宋_GB2312"/>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color w:val="auto"/>
          <w:kern w:val="0"/>
          <w:sz w:val="32"/>
          <w:szCs w:val="32"/>
          <w:lang w:eastAsia="zh-CN"/>
        </w:rPr>
      </w:pPr>
      <w:r>
        <w:rPr>
          <w:rFonts w:hint="eastAsia" w:ascii="仿宋_GB2312" w:eastAsia="仿宋_GB2312"/>
          <w:kern w:val="0"/>
          <w:sz w:val="32"/>
          <w:szCs w:val="32"/>
          <w:lang w:eastAsia="zh-CN"/>
        </w:rPr>
        <w:t xml:space="preserve"> </w:t>
      </w:r>
      <w:r>
        <w:rPr>
          <w:rFonts w:hint="eastAsia" w:ascii="仿宋_GB2312" w:eastAsia="仿宋_GB2312"/>
          <w:color w:val="auto"/>
          <w:kern w:val="0"/>
          <w:sz w:val="32"/>
          <w:szCs w:val="32"/>
          <w:lang w:eastAsia="zh-CN"/>
        </w:rPr>
        <w:t>本项目建立了项目管理制度，并严格按相关制度执行。保障单位日常工作运转，保障重点项目开展实施。</w:t>
      </w:r>
    </w:p>
    <w:p>
      <w:pPr>
        <w:keepNext w:val="0"/>
        <w:keepLines w:val="0"/>
        <w:pageBreakBefore w:val="0"/>
        <w:widowControl w:val="0"/>
        <w:tabs>
          <w:tab w:val="left" w:pos="840"/>
        </w:tabs>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绩效评价目的是为进一步规范</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资金管理，强化绩效和责任意识，切实提高</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资金使用效益。评价对象</w:t>
      </w:r>
      <w:r>
        <w:rPr>
          <w:rFonts w:hint="eastAsia" w:ascii="仿宋_GB2312" w:eastAsia="仿宋_GB2312"/>
          <w:kern w:val="0"/>
          <w:sz w:val="32"/>
          <w:szCs w:val="32"/>
          <w:lang w:val="en-US" w:eastAsia="zh-CN"/>
        </w:rPr>
        <w:t>及范围</w:t>
      </w:r>
      <w:r>
        <w:rPr>
          <w:rFonts w:hint="default" w:ascii="仿宋_GB2312" w:eastAsia="仿宋_GB2312"/>
          <w:kern w:val="0"/>
          <w:sz w:val="32"/>
          <w:szCs w:val="32"/>
          <w:lang w:val="en-US" w:eastAsia="zh-CN"/>
        </w:rPr>
        <w:t>为</w:t>
      </w:r>
      <w:r>
        <w:rPr>
          <w:rFonts w:hint="eastAsia" w:ascii="仿宋_GB2312" w:eastAsia="仿宋_GB2312"/>
          <w:kern w:val="0"/>
          <w:sz w:val="32"/>
          <w:szCs w:val="32"/>
          <w:lang w:eastAsia="zh-CN"/>
        </w:rPr>
        <w:t>县级储备粮费用</w:t>
      </w:r>
      <w:r>
        <w:rPr>
          <w:rFonts w:hint="default" w:ascii="仿宋_GB2312" w:eastAsia="仿宋_GB2312"/>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根据《湖南省预算支出绩效评价管理办法》（湘财绩〔2020〕7号）和《新晃侗族自治县财政局关于开展</w:t>
      </w:r>
      <w:r>
        <w:rPr>
          <w:rFonts w:hint="eastAsia" w:ascii="仿宋_GB2312" w:eastAsia="仿宋_GB2312"/>
          <w:kern w:val="0"/>
          <w:sz w:val="32"/>
          <w:szCs w:val="32"/>
          <w:lang w:val="en-US" w:eastAsia="zh-CN"/>
        </w:rPr>
        <w:t>2023年</w:t>
      </w:r>
      <w:r>
        <w:rPr>
          <w:rFonts w:hint="default" w:ascii="仿宋_GB2312" w:eastAsia="仿宋_GB2312"/>
          <w:kern w:val="0"/>
          <w:sz w:val="32"/>
          <w:szCs w:val="32"/>
          <w:lang w:val="en-US" w:eastAsia="zh-CN"/>
        </w:rPr>
        <w:t>度部门预算支出绩效自评工作的通知》（晃财绩〔2023〕24号）等文件要求，我单位绩效自评工作小组对</w:t>
      </w:r>
      <w:r>
        <w:rPr>
          <w:rFonts w:hint="eastAsia" w:ascii="仿宋_GB2312" w:eastAsia="仿宋_GB2312"/>
          <w:kern w:val="0"/>
          <w:sz w:val="32"/>
          <w:szCs w:val="32"/>
          <w:lang w:val="en-US" w:eastAsia="zh-CN"/>
        </w:rPr>
        <w:t>专项业务经费</w:t>
      </w:r>
      <w:r>
        <w:rPr>
          <w:rFonts w:hint="default" w:ascii="仿宋_GB2312" w:eastAsia="仿宋_GB2312"/>
          <w:kern w:val="0"/>
          <w:sz w:val="32"/>
          <w:szCs w:val="32"/>
          <w:lang w:val="en-US" w:eastAsia="zh-CN"/>
        </w:rPr>
        <w:t>支出开展了绩效自评工作。组织人员收集项目资料，检查会计凭证，在规定的时间内，对项目的实施过程进行了全面、科学、细致的评价。</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三、综合评价情况及评价结论（附相关评分表）</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本次自评，对照项目绩效目标，从项目预算编制、项目组织管理、资金使用、项目产出、项目效益、满意度等方面逐一分析评价，总体自评得分</w:t>
      </w:r>
      <w:r>
        <w:rPr>
          <w:rFonts w:hint="eastAsia" w:ascii="仿宋_GB2312" w:eastAsia="仿宋_GB2312"/>
          <w:kern w:val="0"/>
          <w:sz w:val="32"/>
          <w:szCs w:val="32"/>
          <w:lang w:val="en-US" w:eastAsia="zh-CN"/>
        </w:rPr>
        <w:t>100</w:t>
      </w:r>
      <w:r>
        <w:rPr>
          <w:rFonts w:hint="default" w:ascii="仿宋_GB2312" w:eastAsia="仿宋_GB2312"/>
          <w:kern w:val="0"/>
          <w:sz w:val="32"/>
          <w:szCs w:val="32"/>
          <w:lang w:val="en-US" w:eastAsia="zh-CN"/>
        </w:rPr>
        <w:t>分，绩效评价等级为“优”。</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eastAsia="zh-CN"/>
        </w:rPr>
      </w:pPr>
      <w:r>
        <w:rPr>
          <w:rFonts w:hint="eastAsia" w:asciiTheme="minorEastAsia" w:hAnsiTheme="minorEastAsia" w:eastAsiaTheme="minorEastAsia" w:cstheme="minorEastAsia"/>
          <w:b/>
          <w:sz w:val="28"/>
          <w:szCs w:val="28"/>
        </w:rPr>
        <w:t>绩效及评价</w:t>
      </w:r>
      <w:r>
        <w:rPr>
          <w:rFonts w:hint="eastAsia" w:asciiTheme="minorEastAsia" w:hAnsiTheme="minorEastAsia" w:eastAsiaTheme="minorEastAsia" w:cstheme="minorEastAsia"/>
          <w:b/>
          <w:sz w:val="28"/>
          <w:szCs w:val="28"/>
          <w:lang w:eastAsia="zh-CN"/>
        </w:rPr>
        <w:t>指标分析</w:t>
      </w:r>
    </w:p>
    <w:p>
      <w:pPr>
        <w:keepNext w:val="0"/>
        <w:keepLines w:val="0"/>
        <w:pageBreakBefore w:val="0"/>
        <w:numPr>
          <w:ilvl w:val="0"/>
          <w:numId w:val="2"/>
        </w:numPr>
        <w:kinsoku/>
        <w:wordWrap/>
        <w:overflowPunct/>
        <w:topLinePunct w:val="0"/>
        <w:autoSpaceDE/>
        <w:autoSpaceDN/>
        <w:bidi w:val="0"/>
        <w:adjustRightInd/>
        <w:snapToGrid/>
        <w:spacing w:before="74" w:line="620" w:lineRule="exact"/>
        <w:ind w:left="194" w:firstLine="56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cstheme="minorEastAsia"/>
          <w:b/>
          <w:sz w:val="28"/>
          <w:szCs w:val="28"/>
          <w:lang w:val="en-US" w:eastAsia="zh-CN"/>
        </w:rPr>
        <w:t xml:space="preserve"> </w:t>
      </w:r>
      <w:r>
        <w:rPr>
          <w:rFonts w:hint="eastAsia" w:ascii="仿宋_GB2312" w:eastAsia="仿宋_GB2312" w:cs="Times New Roman"/>
          <w:color w:val="000000" w:themeColor="text1"/>
          <w:sz w:val="32"/>
          <w:szCs w:val="32"/>
          <w:lang w:val="en-US" w:eastAsia="zh-CN"/>
          <w14:textFill>
            <w14:solidFill>
              <w14:schemeClr w14:val="tx1"/>
            </w14:solidFill>
          </w14:textFill>
        </w:rPr>
        <w:t>项目决策情况。</w:t>
      </w:r>
    </w:p>
    <w:p>
      <w:pPr>
        <w:keepNext w:val="0"/>
        <w:keepLines w:val="0"/>
        <w:pageBreakBefore w:val="0"/>
        <w:numPr>
          <w:ilvl w:val="0"/>
          <w:numId w:val="0"/>
        </w:numPr>
        <w:kinsoku/>
        <w:wordWrap/>
        <w:overflowPunct/>
        <w:topLinePunct w:val="0"/>
        <w:autoSpaceDE/>
        <w:autoSpaceDN/>
        <w:bidi w:val="0"/>
        <w:adjustRightInd/>
        <w:snapToGrid/>
        <w:spacing w:before="74" w:line="620" w:lineRule="exact"/>
        <w:ind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根据县财政2023年度发改局预算批复，预算费用为20万元，截止2023年底，该专项资金已使用20万元，使用率100%，结余0元。</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项目过程情况。</w:t>
      </w:r>
    </w:p>
    <w:p>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_GB2312" w:hAnsi="宋体" w:eastAsia="仿宋_GB2312" w:cs="仿宋_GB2312"/>
          <w:i w:val="0"/>
          <w:iCs w:val="0"/>
          <w:caps w:val="0"/>
          <w:color w:val="000000"/>
          <w:spacing w:val="0"/>
          <w:sz w:val="31"/>
          <w:szCs w:val="31"/>
          <w:shd w:val="clear" w:fill="FFFFFF"/>
          <w:lang w:val="en-US" w:eastAsia="zh-CN"/>
        </w:rPr>
      </w:pPr>
      <w:r>
        <w:rPr>
          <w:rFonts w:hint="eastAsia" w:ascii="Times New Roman" w:hAnsi="Times New Roman" w:eastAsia="仿宋_GB2312" w:cs="Times New Roman"/>
          <w:sz w:val="32"/>
          <w:szCs w:val="32"/>
          <w:lang w:val="en-US" w:eastAsia="zh-CN"/>
        </w:rPr>
        <w:t>重点工作经费用于保障重点项目开展实施，</w:t>
      </w:r>
      <w:r>
        <w:rPr>
          <w:rFonts w:hint="default" w:ascii="Times New Roman" w:hAnsi="Times New Roman" w:eastAsia="仿宋_GB2312" w:cs="Times New Roman"/>
          <w:sz w:val="32"/>
          <w:szCs w:val="32"/>
          <w:lang w:val="en-US" w:eastAsia="zh-CN"/>
        </w:rPr>
        <w:t>县发展和改革局党组认真贯彻落实党的</w:t>
      </w:r>
      <w:r>
        <w:rPr>
          <w:rFonts w:hint="eastAsia" w:ascii="Times New Roman" w:hAnsi="Times New Roman" w:eastAsia="仿宋_GB2312" w:cs="Times New Roman"/>
          <w:sz w:val="32"/>
          <w:szCs w:val="32"/>
          <w:lang w:val="en-US" w:eastAsia="zh-CN"/>
        </w:rPr>
        <w:t>二十大</w:t>
      </w:r>
      <w:r>
        <w:rPr>
          <w:rFonts w:hint="default" w:ascii="Times New Roman" w:hAnsi="Times New Roman" w:eastAsia="仿宋_GB2312" w:cs="Times New Roman"/>
          <w:sz w:val="32"/>
          <w:szCs w:val="32"/>
          <w:lang w:val="en-US" w:eastAsia="zh-CN"/>
        </w:rPr>
        <w:t>精神，以习近平新时代中国特色社会主义思想为指导，深入贯彻党中央、省委、市委、县委各项安排部署，搞好经济社会建设，落实“六稳六保”任务要求，落实“三高四新”“三城一区”战略，努力建设“一堡五高地”，巩固拓展脱贫攻坚成果同乡村振兴有效衔接，各项目标任务实现较好</w:t>
      </w:r>
      <w:r>
        <w:rPr>
          <w:rFonts w:hint="eastAsia" w:ascii="Times New Roman" w:hAnsi="Times New Roman" w:eastAsia="仿宋_GB2312" w:cs="Times New Roman"/>
          <w:sz w:val="32"/>
          <w:szCs w:val="32"/>
          <w:lang w:val="en-US" w:eastAsia="zh-CN"/>
        </w:rPr>
        <w:t>。</w:t>
      </w:r>
      <w:r>
        <w:rPr>
          <w:rFonts w:hint="eastAsia" w:ascii="仿宋_GB2312" w:hAnsi="宋体" w:eastAsia="仿宋_GB2312" w:cs="仿宋_GB2312"/>
          <w:i w:val="0"/>
          <w:iCs w:val="0"/>
          <w:caps w:val="0"/>
          <w:color w:val="000000"/>
          <w:spacing w:val="0"/>
          <w:sz w:val="31"/>
          <w:szCs w:val="31"/>
          <w:shd w:val="clear" w:fill="FFFFFF"/>
          <w:lang w:val="en-US" w:eastAsia="zh-CN"/>
        </w:rPr>
        <w:t>资金支出合理合规，没有出现超出项目预算范围，与本项目预算不相符、无关或不符合国家财经法规和财务管理制度以及专项资金管理办法等规定的支出。</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2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仿宋_GB2312"/>
          <w:i w:val="0"/>
          <w:iCs w:val="0"/>
          <w:caps w:val="0"/>
          <w:color w:val="000000"/>
          <w:spacing w:val="0"/>
          <w:sz w:val="31"/>
          <w:szCs w:val="31"/>
          <w:shd w:val="clear" w:fill="FFFFFF"/>
          <w:lang w:val="en-US" w:eastAsia="zh-CN"/>
        </w:rPr>
        <w:t>项</w:t>
      </w:r>
      <w:r>
        <w:rPr>
          <w:rFonts w:hint="eastAsia" w:ascii="仿宋_GB2312" w:eastAsia="仿宋_GB2312" w:cs="Times New Roman"/>
          <w:color w:val="000000" w:themeColor="text1"/>
          <w:sz w:val="32"/>
          <w:szCs w:val="32"/>
          <w:lang w:val="en-US" w:eastAsia="zh-CN"/>
          <w14:textFill>
            <w14:solidFill>
              <w14:schemeClr w14:val="tx1"/>
            </w14:solidFill>
          </w14:textFill>
        </w:rPr>
        <w:t>目产出情况。</w:t>
      </w:r>
    </w:p>
    <w:p>
      <w:pPr>
        <w:keepNext w:val="0"/>
        <w:keepLines w:val="0"/>
        <w:pageBreakBefore w:val="0"/>
        <w:numPr>
          <w:numId w:val="0"/>
        </w:numPr>
        <w:kinsoku/>
        <w:wordWrap/>
        <w:overflowPunct/>
        <w:topLinePunct w:val="0"/>
        <w:autoSpaceDE/>
        <w:autoSpaceDN/>
        <w:bidi w:val="0"/>
        <w:adjustRightInd/>
        <w:snapToGrid/>
        <w:spacing w:line="620" w:lineRule="exact"/>
        <w:ind w:left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保障重点项目办日常工作正常运转。</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项目效益情况。</w:t>
      </w:r>
    </w:p>
    <w:p>
      <w:pPr>
        <w:keepNext w:val="0"/>
        <w:keepLines w:val="0"/>
        <w:pageBreakBefore w:val="0"/>
        <w:numPr>
          <w:numId w:val="0"/>
        </w:numPr>
        <w:kinsoku/>
        <w:wordWrap/>
        <w:overflowPunct/>
        <w:topLinePunct w:val="0"/>
        <w:autoSpaceDE/>
        <w:autoSpaceDN/>
        <w:bidi w:val="0"/>
        <w:adjustRightInd/>
        <w:snapToGrid/>
        <w:spacing w:line="620" w:lineRule="exact"/>
        <w:ind w:left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严守中央八项规定，在厉行节约的基础上保障单位日常工作运转，保障重点项目开展实施，提高行政执行率及工作水平。</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1、基本经验及主要做法</w:t>
      </w:r>
    </w:p>
    <w:p>
      <w:pPr>
        <w:spacing w:line="560" w:lineRule="exact"/>
        <w:ind w:left="0" w:firstLine="640" w:firstLineChars="200"/>
        <w:jc w:val="left"/>
        <w:textAlignment w:val="bottom"/>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2023年度，本单位根据项目开展情况，统筹协调重点工作业务经费，保证单位工作正常运行。</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2、存在的问题及原因分析</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由于县财政资金紧张，不能及时安排资金的使用。</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有关建议</w:t>
      </w:r>
    </w:p>
    <w:p>
      <w:pPr>
        <w:keepNext w:val="0"/>
        <w:keepLines w:val="0"/>
        <w:pageBreakBefore w:val="0"/>
        <w:widowControl w:val="0"/>
        <w:numPr>
          <w:numId w:val="0"/>
        </w:numPr>
        <w:kinsoku/>
        <w:wordWrap/>
        <w:overflowPunct/>
        <w:topLinePunct w:val="0"/>
        <w:autoSpaceDE/>
        <w:autoSpaceDN/>
        <w:bidi w:val="0"/>
        <w:adjustRightInd/>
        <w:snapToGrid/>
        <w:spacing w:line="500" w:lineRule="exact"/>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 xml:space="preserve">    </w:t>
      </w:r>
      <w:r>
        <w:rPr>
          <w:rFonts w:hint="eastAsia" w:ascii="仿宋_GB2312" w:eastAsia="仿宋_GB2312"/>
          <w:kern w:val="0"/>
          <w:sz w:val="32"/>
          <w:szCs w:val="32"/>
          <w:lang w:val="en-US" w:eastAsia="zh-CN"/>
        </w:rPr>
        <w:t>在后续工作中，将合理编制预算，严格执行预算。要按照《预算法》及《预算法实施条例》相关规定，参照上一年预算执行情况和部门重点工作等科学编制预算，避免年终大幅追加。同时严格预算执行，提高资金使用效率。</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val="0"/>
          <w:bCs/>
          <w:sz w:val="28"/>
          <w:szCs w:val="28"/>
          <w:lang w:val="en-US" w:eastAsia="zh-CN"/>
        </w:rPr>
      </w:pPr>
      <w:r>
        <w:rPr>
          <w:rFonts w:hint="eastAsia" w:asciiTheme="minorEastAsia" w:hAnsiTheme="minorEastAsia" w:eastAsiaTheme="minorEastAsia" w:cstheme="minorEastAsia"/>
          <w:b/>
          <w:sz w:val="28"/>
          <w:szCs w:val="28"/>
          <w:lang w:val="en-US" w:eastAsia="zh-CN"/>
        </w:rPr>
        <w:t xml:space="preserve">  </w:t>
      </w:r>
      <w:r>
        <w:rPr>
          <w:rFonts w:hint="eastAsia" w:asciiTheme="minorEastAsia" w:hAnsiTheme="minorEastAsia" w:eastAsiaTheme="minorEastAsia" w:cstheme="minorEastAsia"/>
          <w:b w:val="0"/>
          <w:bCs/>
          <w:sz w:val="28"/>
          <w:szCs w:val="28"/>
          <w:lang w:val="en-US" w:eastAsia="zh-CN"/>
        </w:rPr>
        <w:t xml:space="preserve">  </w:t>
      </w:r>
      <w:r>
        <w:rPr>
          <w:rFonts w:hint="eastAsia" w:ascii="仿宋_GB2312" w:eastAsia="仿宋_GB2312"/>
          <w:kern w:val="0"/>
          <w:sz w:val="32"/>
          <w:szCs w:val="32"/>
          <w:lang w:val="en-US" w:eastAsia="zh-CN"/>
        </w:rPr>
        <w:t xml:space="preserve"> 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spacing w:line="560" w:lineRule="exact"/>
        <w:ind w:left="0" w:firstLine="640" w:firstLineChars="200"/>
        <w:jc w:val="righ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新晃县发展和改革局                      2024年4月10日</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w:t>
      </w:r>
    </w:p>
    <w:sectPr>
      <w:headerReference r:id="rId3" w:type="default"/>
      <w:footerReference r:id="rId4" w:type="default"/>
      <w:footerReference r:id="rId5" w:type="even"/>
      <w:pgSz w:w="11906" w:h="16838"/>
      <w:pgMar w:top="1701" w:right="1417" w:bottom="1134" w:left="1531" w:header="851" w:footer="1134"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separate"/>
    </w:r>
    <w:r>
      <w:rPr>
        <w:rStyle w:val="7"/>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F5D59"/>
    <w:multiLevelType w:val="singleLevel"/>
    <w:tmpl w:val="A2AF5D59"/>
    <w:lvl w:ilvl="0" w:tentative="0">
      <w:start w:val="4"/>
      <w:numFmt w:val="chineseCounting"/>
      <w:suff w:val="nothing"/>
      <w:lvlText w:val="%1、"/>
      <w:lvlJc w:val="left"/>
      <w:rPr>
        <w:rFonts w:hint="eastAsia"/>
      </w:rPr>
    </w:lvl>
  </w:abstractNum>
  <w:abstractNum w:abstractNumId="1">
    <w:nsid w:val="00783A2F"/>
    <w:multiLevelType w:val="singleLevel"/>
    <w:tmpl w:val="00783A2F"/>
    <w:lvl w:ilvl="0" w:tentative="0">
      <w:start w:val="5"/>
      <w:numFmt w:val="chineseCounting"/>
      <w:suff w:val="nothing"/>
      <w:lvlText w:val="%1、"/>
      <w:lvlJc w:val="left"/>
      <w:rPr>
        <w:rFonts w:hint="eastAsia"/>
      </w:rPr>
    </w:lvl>
  </w:abstractNum>
  <w:abstractNum w:abstractNumId="2">
    <w:nsid w:val="1F1C7BD0"/>
    <w:multiLevelType w:val="singleLevel"/>
    <w:tmpl w:val="1F1C7BD0"/>
    <w:lvl w:ilvl="0" w:tentative="0">
      <w:start w:val="1"/>
      <w:numFmt w:val="chineseCounting"/>
      <w:lvlText w:val="(%1)"/>
      <w:lvlJc w:val="left"/>
      <w:pPr>
        <w:tabs>
          <w:tab w:val="left" w:pos="312"/>
        </w:tabs>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yMTYzMDBiOWIzNTEyNTNiYTAwNjEwZTBkNDU5YTAifQ=="/>
  </w:docVars>
  <w:rsids>
    <w:rsidRoot w:val="00000000"/>
    <w:rsid w:val="00556F24"/>
    <w:rsid w:val="00BE546D"/>
    <w:rsid w:val="01B85F94"/>
    <w:rsid w:val="0305373E"/>
    <w:rsid w:val="03413725"/>
    <w:rsid w:val="03A51014"/>
    <w:rsid w:val="040954C6"/>
    <w:rsid w:val="040E741B"/>
    <w:rsid w:val="05895519"/>
    <w:rsid w:val="05C54482"/>
    <w:rsid w:val="06837551"/>
    <w:rsid w:val="0692167B"/>
    <w:rsid w:val="071222C3"/>
    <w:rsid w:val="07BE0D9E"/>
    <w:rsid w:val="08300D8C"/>
    <w:rsid w:val="08777BCA"/>
    <w:rsid w:val="08E1238F"/>
    <w:rsid w:val="08E13472"/>
    <w:rsid w:val="08EE2941"/>
    <w:rsid w:val="09E54C2D"/>
    <w:rsid w:val="0C600D17"/>
    <w:rsid w:val="10725EA8"/>
    <w:rsid w:val="108408CE"/>
    <w:rsid w:val="110E5BD1"/>
    <w:rsid w:val="1258501C"/>
    <w:rsid w:val="13110086"/>
    <w:rsid w:val="132536A6"/>
    <w:rsid w:val="13C24A51"/>
    <w:rsid w:val="14C01D8E"/>
    <w:rsid w:val="15A837DD"/>
    <w:rsid w:val="16D72F09"/>
    <w:rsid w:val="17951DB5"/>
    <w:rsid w:val="17F04282"/>
    <w:rsid w:val="180B5092"/>
    <w:rsid w:val="1A3F113F"/>
    <w:rsid w:val="1B3E564B"/>
    <w:rsid w:val="1B546A59"/>
    <w:rsid w:val="1BF939F1"/>
    <w:rsid w:val="1C142509"/>
    <w:rsid w:val="1D752CBF"/>
    <w:rsid w:val="1F3F33F9"/>
    <w:rsid w:val="20E73D48"/>
    <w:rsid w:val="21A70A52"/>
    <w:rsid w:val="2226591A"/>
    <w:rsid w:val="234607C9"/>
    <w:rsid w:val="235C6C70"/>
    <w:rsid w:val="238166D6"/>
    <w:rsid w:val="24776BBA"/>
    <w:rsid w:val="24963579"/>
    <w:rsid w:val="252527DE"/>
    <w:rsid w:val="26431A21"/>
    <w:rsid w:val="27037065"/>
    <w:rsid w:val="278D7BBD"/>
    <w:rsid w:val="282A310B"/>
    <w:rsid w:val="28352B49"/>
    <w:rsid w:val="2BB40476"/>
    <w:rsid w:val="2CF504FC"/>
    <w:rsid w:val="2D180190"/>
    <w:rsid w:val="2EFC1307"/>
    <w:rsid w:val="2FF375E5"/>
    <w:rsid w:val="307E160E"/>
    <w:rsid w:val="30D81136"/>
    <w:rsid w:val="311C7A3E"/>
    <w:rsid w:val="31AC6D75"/>
    <w:rsid w:val="32087FC3"/>
    <w:rsid w:val="33B57CD6"/>
    <w:rsid w:val="33D20888"/>
    <w:rsid w:val="33ED3288"/>
    <w:rsid w:val="37184804"/>
    <w:rsid w:val="378660C8"/>
    <w:rsid w:val="381417C1"/>
    <w:rsid w:val="39B8655F"/>
    <w:rsid w:val="3D427DDA"/>
    <w:rsid w:val="3DE14746"/>
    <w:rsid w:val="3E8F40F8"/>
    <w:rsid w:val="3FD634AE"/>
    <w:rsid w:val="40D43E92"/>
    <w:rsid w:val="40ED4F53"/>
    <w:rsid w:val="41562AF9"/>
    <w:rsid w:val="41B17D2F"/>
    <w:rsid w:val="42730039"/>
    <w:rsid w:val="43324B63"/>
    <w:rsid w:val="43D060FC"/>
    <w:rsid w:val="46447925"/>
    <w:rsid w:val="46B502C1"/>
    <w:rsid w:val="47C6205A"/>
    <w:rsid w:val="4846162B"/>
    <w:rsid w:val="49697141"/>
    <w:rsid w:val="49B91A00"/>
    <w:rsid w:val="4A02381D"/>
    <w:rsid w:val="4A9B08AA"/>
    <w:rsid w:val="4ABD7C9A"/>
    <w:rsid w:val="4B265E50"/>
    <w:rsid w:val="4BC863A1"/>
    <w:rsid w:val="4C9253A0"/>
    <w:rsid w:val="4CB87B2E"/>
    <w:rsid w:val="4CEC2563"/>
    <w:rsid w:val="4EB9402F"/>
    <w:rsid w:val="4EC5306C"/>
    <w:rsid w:val="4EDC4469"/>
    <w:rsid w:val="4F8B6063"/>
    <w:rsid w:val="4FD572DE"/>
    <w:rsid w:val="506F7733"/>
    <w:rsid w:val="513840F1"/>
    <w:rsid w:val="51D627D2"/>
    <w:rsid w:val="52554706"/>
    <w:rsid w:val="54212EDF"/>
    <w:rsid w:val="552019FD"/>
    <w:rsid w:val="55DB1F32"/>
    <w:rsid w:val="597E2AE2"/>
    <w:rsid w:val="5BCD1B1C"/>
    <w:rsid w:val="5E36034D"/>
    <w:rsid w:val="5E541D16"/>
    <w:rsid w:val="60157FFC"/>
    <w:rsid w:val="60450E07"/>
    <w:rsid w:val="6106379C"/>
    <w:rsid w:val="618A0ACD"/>
    <w:rsid w:val="619E0305"/>
    <w:rsid w:val="62B56ACB"/>
    <w:rsid w:val="6562740E"/>
    <w:rsid w:val="656C5B97"/>
    <w:rsid w:val="657D5FF6"/>
    <w:rsid w:val="66CD2666"/>
    <w:rsid w:val="6766615B"/>
    <w:rsid w:val="69796B50"/>
    <w:rsid w:val="6B011DD2"/>
    <w:rsid w:val="6C534923"/>
    <w:rsid w:val="6D2A2067"/>
    <w:rsid w:val="6D7F34F7"/>
    <w:rsid w:val="6E285A6F"/>
    <w:rsid w:val="6EE113A4"/>
    <w:rsid w:val="6EEA079B"/>
    <w:rsid w:val="6FBC4819"/>
    <w:rsid w:val="6FE06795"/>
    <w:rsid w:val="71762326"/>
    <w:rsid w:val="72AD15C9"/>
    <w:rsid w:val="72BC4A82"/>
    <w:rsid w:val="75093403"/>
    <w:rsid w:val="760442A1"/>
    <w:rsid w:val="767D26DE"/>
    <w:rsid w:val="77983551"/>
    <w:rsid w:val="77E65C7D"/>
    <w:rsid w:val="783E1615"/>
    <w:rsid w:val="79982045"/>
    <w:rsid w:val="7D3C5FEB"/>
    <w:rsid w:val="7D425704"/>
    <w:rsid w:val="7F322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page number"/>
    <w:basedOn w:val="6"/>
    <w:autoRedefine/>
    <w:qFormat/>
    <w:uiPriority w:val="0"/>
  </w:style>
  <w:style w:type="paragraph" w:styleId="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1606</Words>
  <Characters>1654</Characters>
  <Lines>0</Lines>
  <Paragraphs>0</Paragraphs>
  <TotalTime>11</TotalTime>
  <ScaleCrop>false</ScaleCrop>
  <LinksUpToDate>false</LinksUpToDate>
  <CharactersWithSpaces>1720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2020-10-26T04:56:00Z</dcterms:created>
  <dc:creator>Administrator</dc:creator>
  <cp:lastModifiedBy>lenovo</cp:lastModifiedBy>
  <cp:lastPrinted>2024-04-16T03:25:34Z</cp:lastPrinted>
  <dcterms:modified xsi:type="dcterms:W3CDTF">2024-04-16T03:26:15Z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869A433AE56E4888A1FF8785903AE498_13</vt:lpwstr>
  </property>
</Properties>
</file>