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20" w:lineRule="exact"/>
        <w:jc w:val="left"/>
        <w:rPr>
          <w:rFonts w:ascii="Times New Roman" w:hAnsi="Times New Roman" w:eastAsia="仿宋_GB2312"/>
          <w:sz w:val="32"/>
          <w:szCs w:val="32"/>
        </w:rPr>
      </w:pPr>
    </w:p>
    <w:p>
      <w:pPr>
        <w:spacing w:line="620" w:lineRule="exact"/>
        <w:jc w:val="left"/>
        <w:rPr>
          <w:rFonts w:ascii="Times New Roman" w:hAnsi="Times New Roman" w:eastAsia="仿宋_GB2312"/>
          <w:sz w:val="32"/>
          <w:szCs w:val="32"/>
        </w:rPr>
      </w:pPr>
      <w:r>
        <w:rPr>
          <w:rFonts w:ascii="Times New Roman" w:hAnsi="Times New Roman" w:eastAsia="仿宋_GB2312"/>
          <w:sz w:val="32"/>
          <w:szCs w:val="32"/>
        </w:rPr>
        <w:t xml:space="preserve"> </w:t>
      </w:r>
    </w:p>
    <w:p>
      <w:pPr>
        <w:spacing w:line="620" w:lineRule="exact"/>
        <w:jc w:val="left"/>
        <w:rPr>
          <w:rFonts w:ascii="Times New Roman" w:hAnsi="Times New Roman" w:eastAsia="仿宋_GB2312"/>
          <w:sz w:val="32"/>
          <w:szCs w:val="32"/>
        </w:rPr>
      </w:pPr>
      <w:r>
        <w:rPr>
          <w:rFonts w:ascii="Times New Roman" w:hAnsi="Times New Roman" w:eastAsia="仿宋_GB2312"/>
          <w:sz w:val="32"/>
          <w:szCs w:val="32"/>
        </w:rPr>
        <w:t xml:space="preserve"> </w:t>
      </w:r>
    </w:p>
    <w:p>
      <w:pPr>
        <w:spacing w:line="620" w:lineRule="exact"/>
        <w:jc w:val="left"/>
        <w:rPr>
          <w:rFonts w:ascii="Times New Roman" w:hAnsi="Times New Roman" w:eastAsia="仿宋_GB2312"/>
          <w:sz w:val="32"/>
          <w:szCs w:val="32"/>
        </w:rPr>
      </w:pPr>
      <w:r>
        <w:rPr>
          <w:rFonts w:ascii="Times New Roman" w:hAnsi="Times New Roman" w:eastAsia="仿宋_GB2312"/>
          <w:sz w:val="32"/>
          <w:szCs w:val="32"/>
        </w:rPr>
        <w:t xml:space="preserve"> </w:t>
      </w:r>
    </w:p>
    <w:p>
      <w:pPr>
        <w:spacing w:line="620" w:lineRule="exact"/>
        <w:jc w:val="left"/>
        <w:rPr>
          <w:rFonts w:ascii="Times New Roman" w:hAnsi="Times New Roman" w:eastAsia="仿宋_GB2312"/>
          <w:sz w:val="32"/>
          <w:szCs w:val="32"/>
        </w:rPr>
      </w:pPr>
      <w:r>
        <w:rPr>
          <w:rFonts w:ascii="Times New Roman" w:hAnsi="Times New Roman" w:eastAsia="仿宋_GB2312"/>
          <w:sz w:val="32"/>
          <w:szCs w:val="32"/>
        </w:rPr>
        <w:t xml:space="preserve"> </w:t>
      </w:r>
    </w:p>
    <w:p>
      <w:pPr>
        <w:spacing w:line="620" w:lineRule="exact"/>
        <w:jc w:val="left"/>
        <w:rPr>
          <w:rFonts w:ascii="Times New Roman" w:hAnsi="Times New Roman" w:eastAsia="仿宋_GB2312"/>
          <w:sz w:val="32"/>
          <w:szCs w:val="32"/>
        </w:rPr>
      </w:pPr>
      <w:r>
        <w:rPr>
          <w:rFonts w:ascii="Times New Roman" w:hAnsi="Times New Roman" w:eastAsia="仿宋_GB2312"/>
          <w:sz w:val="32"/>
          <w:szCs w:val="32"/>
        </w:rPr>
        <w:t xml:space="preserve"> </w:t>
      </w:r>
    </w:p>
    <w:p>
      <w:pPr>
        <w:spacing w:line="620" w:lineRule="exact"/>
        <w:jc w:val="left"/>
        <w:rPr>
          <w:rFonts w:ascii="Times New Roman" w:hAnsi="Times New Roman" w:eastAsia="仿宋_GB2312"/>
          <w:sz w:val="32"/>
          <w:szCs w:val="32"/>
        </w:rPr>
      </w:pPr>
      <w:r>
        <w:rPr>
          <w:rFonts w:ascii="Times New Roman" w:hAnsi="Times New Roman" w:eastAsia="仿宋_GB2312"/>
          <w:sz w:val="32"/>
          <w:szCs w:val="32"/>
        </w:rPr>
        <w:t xml:space="preserve"> </w:t>
      </w:r>
    </w:p>
    <w:p>
      <w:pPr>
        <w:spacing w:before="312" w:beforeLines="100" w:line="560" w:lineRule="exact"/>
        <w:jc w:val="center"/>
        <w:rPr>
          <w:rFonts w:ascii="Times New Roman" w:hAnsi="Times New Roman" w:eastAsia="仿宋_GB2312"/>
          <w:sz w:val="32"/>
          <w:szCs w:val="32"/>
        </w:rPr>
      </w:pPr>
      <w:r>
        <w:rPr>
          <w:rFonts w:ascii="Times New Roman" w:hAnsi="Times New Roman" w:eastAsia="仿宋_GB2312"/>
          <w:sz w:val="32"/>
          <w:szCs w:val="32"/>
        </w:rPr>
        <w:t>晃政发〔</w:t>
      </w:r>
      <w:r>
        <w:rPr>
          <w:rFonts w:hint="eastAsia" w:ascii="Times New Roman" w:hAnsi="Times New Roman" w:eastAsia="仿宋_GB2312"/>
          <w:sz w:val="32"/>
          <w:szCs w:val="32"/>
          <w:lang w:val="en-US" w:eastAsia="zh-CN"/>
        </w:rPr>
        <w:t>2026</w:t>
      </w:r>
      <w:r>
        <w:rPr>
          <w:rFonts w:ascii="Times New Roman" w:hAnsi="Times New Roman" w:eastAsia="仿宋_GB2312"/>
          <w:sz w:val="32"/>
          <w:szCs w:val="32"/>
        </w:rPr>
        <w:t>〕</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号</w:t>
      </w:r>
    </w:p>
    <w:p>
      <w:pPr>
        <w:spacing w:line="620" w:lineRule="exact"/>
        <w:ind w:firstLine="640" w:firstLineChars="200"/>
        <w:rPr>
          <w:rFonts w:ascii="Times New Roman" w:hAnsi="Times New Roman"/>
        </w:rPr>
      </w:pPr>
      <w:r>
        <w:rPr>
          <w:rFonts w:ascii="Times New Roman" w:hAnsi="Times New Roman" w:eastAsia="仿宋_GB2312"/>
          <w:sz w:val="32"/>
          <w:szCs w:val="32"/>
        </w:rPr>
        <w:t xml:space="preserve"> </w:t>
      </w:r>
    </w:p>
    <w:p>
      <w:pPr>
        <w:keepNext w:val="0"/>
        <w:keepLines w:val="0"/>
        <w:pageBreakBefore w:val="0"/>
        <w:widowControl w:val="0"/>
        <w:kinsoku/>
        <w:overflowPunct w:val="0"/>
        <w:topLinePunct w:val="0"/>
        <w:autoSpaceDE w:val="0"/>
        <w:autoSpaceDN/>
        <w:bidi w:val="0"/>
        <w:adjustRightInd/>
        <w:snapToGrid/>
        <w:spacing w:line="620" w:lineRule="exact"/>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lang w:eastAsia="zh-CN"/>
        </w:rPr>
        <w:t>新晃侗族自治县</w:t>
      </w:r>
      <w:r>
        <w:rPr>
          <w:rFonts w:hint="default" w:ascii="Times New Roman" w:hAnsi="Times New Roman" w:eastAsia="方正小标宋简体" w:cs="Times New Roman"/>
          <w:color w:val="auto"/>
          <w:sz w:val="44"/>
          <w:szCs w:val="44"/>
          <w:highlight w:val="none"/>
        </w:rPr>
        <w:t>人民政府</w:t>
      </w:r>
    </w:p>
    <w:p>
      <w:pPr>
        <w:keepNext w:val="0"/>
        <w:keepLines w:val="0"/>
        <w:pageBreakBefore w:val="0"/>
        <w:widowControl w:val="0"/>
        <w:kinsoku/>
        <w:overflowPunct w:val="0"/>
        <w:topLinePunct w:val="0"/>
        <w:autoSpaceDE w:val="0"/>
        <w:autoSpaceDN/>
        <w:bidi w:val="0"/>
        <w:adjustRightInd/>
        <w:snapToGrid/>
        <w:spacing w:line="620" w:lineRule="exact"/>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关于印发《</w:t>
      </w:r>
      <w:r>
        <w:rPr>
          <w:rFonts w:hint="default" w:ascii="Times New Roman" w:hAnsi="Times New Roman" w:eastAsia="方正小标宋简体" w:cs="Times New Roman"/>
          <w:color w:val="auto"/>
          <w:sz w:val="44"/>
          <w:szCs w:val="44"/>
          <w:highlight w:val="none"/>
          <w:lang w:eastAsia="zh-CN"/>
        </w:rPr>
        <w:t>新晃侗族自治县</w:t>
      </w:r>
      <w:r>
        <w:rPr>
          <w:rFonts w:hint="default" w:ascii="Times New Roman" w:hAnsi="Times New Roman" w:eastAsia="方正小标宋简体" w:cs="Times New Roman"/>
          <w:color w:val="auto"/>
          <w:sz w:val="44"/>
          <w:szCs w:val="44"/>
          <w:highlight w:val="none"/>
        </w:rPr>
        <w:t>国民经济和社会发展第十五个五年规划纲要》的通知</w:t>
      </w:r>
    </w:p>
    <w:p>
      <w:pPr>
        <w:keepNext w:val="0"/>
        <w:keepLines w:val="0"/>
        <w:pageBreakBefore w:val="0"/>
        <w:widowControl w:val="0"/>
        <w:kinsoku/>
        <w:overflowPunct w:val="0"/>
        <w:topLinePunct w:val="0"/>
        <w:autoSpaceDE w:val="0"/>
        <w:autoSpaceDN/>
        <w:bidi w:val="0"/>
        <w:adjustRightInd/>
        <w:snapToGrid/>
        <w:spacing w:line="620" w:lineRule="exact"/>
        <w:ind w:firstLine="420" w:firstLineChars="200"/>
        <w:textAlignment w:val="auto"/>
        <w:rPr>
          <w:rFonts w:hint="default" w:ascii="Times New Roman" w:hAnsi="Times New Roman" w:eastAsia="仿宋_GB2312" w:cs="Times New Roman"/>
          <w:color w:val="auto"/>
          <w:highlight w:val="none"/>
        </w:rPr>
      </w:pPr>
    </w:p>
    <w:p>
      <w:pPr>
        <w:keepNext w:val="0"/>
        <w:keepLines w:val="0"/>
        <w:pageBreakBefore w:val="0"/>
        <w:widowControl w:val="0"/>
        <w:kinsoku/>
        <w:overflowPunct w:val="0"/>
        <w:topLinePunct w:val="0"/>
        <w:autoSpaceDE w:val="0"/>
        <w:autoSpaceDN/>
        <w:bidi w:val="0"/>
        <w:adjustRightInd/>
        <w:snapToGrid/>
        <w:spacing w:line="620" w:lineRule="exac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各</w:t>
      </w:r>
      <w:r>
        <w:rPr>
          <w:rFonts w:hint="default" w:ascii="Times New Roman" w:hAnsi="Times New Roman" w:eastAsia="仿宋_GB2312" w:cs="Times New Roman"/>
          <w:color w:val="auto"/>
          <w:sz w:val="32"/>
          <w:szCs w:val="32"/>
          <w:highlight w:val="none"/>
          <w:lang w:eastAsia="zh-CN"/>
        </w:rPr>
        <w:t>乡镇</w:t>
      </w:r>
      <w:r>
        <w:rPr>
          <w:rFonts w:hint="default" w:ascii="Times New Roman" w:hAnsi="Times New Roman" w:eastAsia="仿宋_GB2312" w:cs="Times New Roman"/>
          <w:color w:val="auto"/>
          <w:sz w:val="32"/>
          <w:szCs w:val="32"/>
          <w:highlight w:val="none"/>
        </w:rPr>
        <w:t>人民政府</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县</w:t>
      </w:r>
      <w:r>
        <w:rPr>
          <w:rFonts w:hint="default" w:ascii="Times New Roman" w:hAnsi="Times New Roman" w:eastAsia="仿宋_GB2312" w:cs="Times New Roman"/>
          <w:color w:val="auto"/>
          <w:sz w:val="32"/>
          <w:szCs w:val="32"/>
          <w:highlight w:val="none"/>
        </w:rPr>
        <w:t>直机关各单位：</w:t>
      </w:r>
    </w:p>
    <w:p>
      <w:pPr>
        <w:keepNext w:val="0"/>
        <w:keepLines w:val="0"/>
        <w:pageBreakBefore w:val="0"/>
        <w:widowControl w:val="0"/>
        <w:kinsoku/>
        <w:overflowPunct w:val="0"/>
        <w:topLinePunct w:val="0"/>
        <w:autoSpaceDE w:val="0"/>
        <w:autoSpaceDN/>
        <w:bidi w:val="0"/>
        <w:adjustRightInd/>
        <w:snapToGrid/>
        <w:spacing w:line="62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新晃侗族自治县</w:t>
      </w:r>
      <w:r>
        <w:rPr>
          <w:rFonts w:hint="default" w:ascii="Times New Roman" w:hAnsi="Times New Roman" w:eastAsia="仿宋_GB2312" w:cs="Times New Roman"/>
          <w:color w:val="auto"/>
          <w:sz w:val="32"/>
          <w:szCs w:val="32"/>
          <w:highlight w:val="none"/>
        </w:rPr>
        <w:t>国民经济和社会发展第十五个五年规划纲要》已经</w:t>
      </w:r>
      <w:r>
        <w:rPr>
          <w:rFonts w:hint="default" w:ascii="Times New Roman" w:hAnsi="Times New Roman" w:eastAsia="仿宋_GB2312" w:cs="Times New Roman"/>
          <w:color w:val="auto"/>
          <w:sz w:val="32"/>
          <w:szCs w:val="32"/>
          <w:highlight w:val="none"/>
          <w:lang w:eastAsia="zh-CN"/>
        </w:rPr>
        <w:t>新晃侗族自治县</w:t>
      </w:r>
      <w:r>
        <w:rPr>
          <w:rFonts w:hint="default" w:ascii="Times New Roman" w:hAnsi="Times New Roman" w:eastAsia="仿宋_GB2312" w:cs="Times New Roman"/>
          <w:color w:val="auto"/>
          <w:spacing w:val="-4"/>
          <w:sz w:val="32"/>
          <w:szCs w:val="32"/>
          <w:highlight w:val="none"/>
        </w:rPr>
        <w:t>第</w:t>
      </w:r>
      <w:r>
        <w:rPr>
          <w:rFonts w:hint="default" w:ascii="Times New Roman" w:hAnsi="Times New Roman" w:eastAsia="仿宋_GB2312" w:cs="Times New Roman"/>
          <w:color w:val="auto"/>
          <w:spacing w:val="-4"/>
          <w:sz w:val="32"/>
          <w:szCs w:val="32"/>
          <w:highlight w:val="none"/>
          <w:lang w:eastAsia="zh-CN"/>
        </w:rPr>
        <w:t>十八</w:t>
      </w:r>
      <w:r>
        <w:rPr>
          <w:rFonts w:hint="default" w:ascii="Times New Roman" w:hAnsi="Times New Roman" w:eastAsia="仿宋_GB2312" w:cs="Times New Roman"/>
          <w:color w:val="auto"/>
          <w:spacing w:val="-4"/>
          <w:sz w:val="32"/>
          <w:szCs w:val="32"/>
          <w:highlight w:val="none"/>
        </w:rPr>
        <w:t>届人民代表大会第五次会议审查通过，现印发给你们，请认真组织实施。</w:t>
      </w:r>
    </w:p>
    <w:p>
      <w:pPr>
        <w:keepNext w:val="0"/>
        <w:keepLines w:val="0"/>
        <w:pageBreakBefore w:val="0"/>
        <w:widowControl w:val="0"/>
        <w:kinsoku/>
        <w:overflowPunct w:val="0"/>
        <w:topLinePunct w:val="0"/>
        <w:autoSpaceDE w:val="0"/>
        <w:autoSpaceDN/>
        <w:bidi w:val="0"/>
        <w:adjustRightInd/>
        <w:snapToGrid/>
        <w:spacing w:line="620" w:lineRule="exact"/>
        <w:ind w:firstLine="640" w:firstLineChars="200"/>
        <w:textAlignment w:val="auto"/>
        <w:rPr>
          <w:rFonts w:hint="default" w:ascii="Times New Roman" w:hAnsi="Times New Roman" w:eastAsia="仿宋_GB2312" w:cs="Times New Roman"/>
          <w:color w:val="auto"/>
          <w:sz w:val="32"/>
          <w:szCs w:val="32"/>
          <w:highlight w:val="none"/>
        </w:rPr>
      </w:pPr>
    </w:p>
    <w:p>
      <w:pPr>
        <w:keepNext w:val="0"/>
        <w:keepLines w:val="0"/>
        <w:pageBreakBefore w:val="0"/>
        <w:widowControl w:val="0"/>
        <w:kinsoku/>
        <w:wordWrap w:val="0"/>
        <w:overflowPunct w:val="0"/>
        <w:topLinePunct w:val="0"/>
        <w:autoSpaceDE w:val="0"/>
        <w:autoSpaceDN/>
        <w:bidi w:val="0"/>
        <w:adjustRightInd/>
        <w:snapToGrid/>
        <w:spacing w:line="620" w:lineRule="exact"/>
        <w:jc w:val="both"/>
        <w:textAlignment w:val="auto"/>
        <w:rPr>
          <w:rFonts w:hint="default" w:ascii="Times New Roman" w:hAnsi="Times New Roman" w:eastAsia="仿宋_GB2312" w:cs="Times New Roman"/>
          <w:color w:val="auto"/>
          <w:spacing w:val="-4"/>
          <w:sz w:val="32"/>
          <w:szCs w:val="32"/>
          <w:highlight w:val="none"/>
          <w:lang w:eastAsia="zh-CN"/>
        </w:rPr>
      </w:pPr>
    </w:p>
    <w:p>
      <w:pPr>
        <w:keepNext w:val="0"/>
        <w:keepLines w:val="0"/>
        <w:pageBreakBefore w:val="0"/>
        <w:widowControl w:val="0"/>
        <w:kinsoku/>
        <w:wordWrap w:val="0"/>
        <w:overflowPunct w:val="0"/>
        <w:topLinePunct w:val="0"/>
        <w:autoSpaceDE w:val="0"/>
        <w:autoSpaceDN/>
        <w:bidi w:val="0"/>
        <w:adjustRightInd/>
        <w:snapToGrid/>
        <w:spacing w:line="620" w:lineRule="exact"/>
        <w:ind w:left="3780" w:leftChars="0" w:firstLine="420" w:firstLineChars="0"/>
        <w:jc w:val="center"/>
        <w:textAlignment w:val="auto"/>
        <w:rPr>
          <w:rFonts w:hint="default" w:ascii="Times New Roman" w:hAnsi="Times New Roman" w:eastAsia="仿宋_GB2312" w:cs="Times New Roman"/>
          <w:color w:val="auto"/>
          <w:spacing w:val="-4"/>
          <w:sz w:val="32"/>
          <w:szCs w:val="32"/>
          <w:highlight w:val="none"/>
        </w:rPr>
      </w:pPr>
      <w:r>
        <w:rPr>
          <w:rFonts w:hint="default" w:ascii="Times New Roman" w:hAnsi="Times New Roman" w:eastAsia="仿宋_GB2312" w:cs="Times New Roman"/>
          <w:color w:val="auto"/>
          <w:spacing w:val="-4"/>
          <w:sz w:val="32"/>
          <w:szCs w:val="32"/>
          <w:highlight w:val="none"/>
          <w:lang w:eastAsia="zh-CN"/>
        </w:rPr>
        <w:t>新晃侗族自治县</w:t>
      </w:r>
      <w:r>
        <w:rPr>
          <w:rFonts w:hint="default" w:ascii="Times New Roman" w:hAnsi="Times New Roman" w:eastAsia="仿宋_GB2312" w:cs="Times New Roman"/>
          <w:color w:val="auto"/>
          <w:spacing w:val="-4"/>
          <w:sz w:val="32"/>
          <w:szCs w:val="32"/>
          <w:highlight w:val="none"/>
        </w:rPr>
        <w:t>人民政府</w:t>
      </w:r>
    </w:p>
    <w:p>
      <w:pPr>
        <w:keepNext w:val="0"/>
        <w:keepLines w:val="0"/>
        <w:pageBreakBefore w:val="0"/>
        <w:widowControl w:val="0"/>
        <w:kinsoku/>
        <w:topLinePunct w:val="0"/>
        <w:autoSpaceDN/>
        <w:bidi w:val="0"/>
        <w:adjustRightInd/>
        <w:snapToGrid/>
        <w:spacing w:line="620" w:lineRule="exact"/>
        <w:ind w:left="3780" w:leftChars="0" w:firstLine="420" w:firstLineChars="0"/>
        <w:jc w:val="center"/>
        <w:textAlignment w:val="auto"/>
        <w:rPr>
          <w:rFonts w:ascii="Times New Roman" w:hAnsi="Times New Roman" w:cs="Times New Roman"/>
          <w:color w:val="auto"/>
          <w:highlight w:val="none"/>
        </w:rPr>
      </w:pPr>
      <w:r>
        <w:rPr>
          <w:rFonts w:hint="default" w:ascii="Times New Roman" w:hAnsi="Times New Roman" w:eastAsia="仿宋_GB2312" w:cs="Times New Roman"/>
          <w:color w:val="auto"/>
          <w:spacing w:val="-4"/>
          <w:sz w:val="32"/>
          <w:szCs w:val="32"/>
          <w:highlight w:val="none"/>
        </w:rPr>
        <w:t>2026年</w:t>
      </w:r>
      <w:r>
        <w:rPr>
          <w:rFonts w:hint="default" w:ascii="Times New Roman" w:hAnsi="Times New Roman" w:eastAsia="仿宋_GB2312" w:cs="Times New Roman"/>
          <w:color w:val="auto"/>
          <w:spacing w:val="-4"/>
          <w:sz w:val="32"/>
          <w:szCs w:val="32"/>
          <w:highlight w:val="none"/>
          <w:lang w:val="en-US" w:eastAsia="zh-CN"/>
        </w:rPr>
        <w:t>10</w:t>
      </w:r>
      <w:r>
        <w:rPr>
          <w:rFonts w:hint="default" w:ascii="Times New Roman" w:hAnsi="Times New Roman" w:eastAsia="仿宋_GB2312" w:cs="Times New Roman"/>
          <w:color w:val="auto"/>
          <w:spacing w:val="-4"/>
          <w:sz w:val="32"/>
          <w:szCs w:val="32"/>
          <w:highlight w:val="none"/>
        </w:rPr>
        <w:t>月</w:t>
      </w:r>
      <w:r>
        <w:rPr>
          <w:rFonts w:hint="default" w:ascii="Times New Roman" w:hAnsi="Times New Roman" w:eastAsia="仿宋_GB2312" w:cs="Times New Roman"/>
          <w:color w:val="auto"/>
          <w:spacing w:val="-4"/>
          <w:sz w:val="32"/>
          <w:szCs w:val="32"/>
          <w:highlight w:val="none"/>
          <w:lang w:val="en-US" w:eastAsia="zh-CN"/>
        </w:rPr>
        <w:t>9</w:t>
      </w:r>
      <w:r>
        <w:rPr>
          <w:rFonts w:hint="default" w:ascii="Times New Roman" w:hAnsi="Times New Roman" w:eastAsia="仿宋_GB2312" w:cs="Times New Roman"/>
          <w:color w:val="auto"/>
          <w:spacing w:val="-4"/>
          <w:sz w:val="32"/>
          <w:szCs w:val="32"/>
          <w:highlight w:val="none"/>
        </w:rPr>
        <w:t>日</w:t>
      </w:r>
    </w:p>
    <w:p>
      <w:pPr>
        <w:rPr>
          <w:rFonts w:ascii="Times New Roman" w:hAnsi="Times New Roman" w:cs="Times New Roman"/>
        </w:rPr>
      </w:pPr>
      <w:r>
        <w:rPr>
          <w:rFonts w:ascii="Times New Roman" w:hAnsi="Times New Roman" w:cs="Times New Roman"/>
        </w:rPr>
        <w:br w:type="page"/>
      </w:r>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tabs>
          <w:tab w:val="left" w:pos="5944"/>
        </w:tabs>
        <w:rPr>
          <w:rFonts w:hint="eastAsia" w:eastAsia="仿宋_GB2312"/>
          <w:lang w:eastAsia="zh-CN"/>
        </w:rPr>
      </w:pPr>
      <w:r>
        <w:rPr>
          <w:rFonts w:hint="eastAsia"/>
          <w:lang w:eastAsia="zh-CN"/>
        </w:rPr>
        <w:tab/>
      </w:r>
    </w:p>
    <w:p/>
    <w:p>
      <w:pPr>
        <w:pStyle w:val="2"/>
      </w:pPr>
    </w:p>
    <w:p/>
    <w:p>
      <w:pPr>
        <w:pStyle w:val="2"/>
      </w:pPr>
    </w:p>
    <w:p/>
    <w:p>
      <w:pPr>
        <w:pStyle w:val="2"/>
      </w:pPr>
    </w:p>
    <w:p>
      <w:pPr>
        <w:pStyle w:val="11"/>
        <w:spacing w:after="0" w:line="620" w:lineRule="exact"/>
        <w:rPr>
          <w:rFonts w:ascii="Times New Roman" w:hAnsi="Times New Roman"/>
        </w:rPr>
      </w:pPr>
    </w:p>
    <w:p>
      <w:pPr>
        <w:pStyle w:val="11"/>
        <w:spacing w:after="0" w:line="620" w:lineRule="exact"/>
        <w:rPr>
          <w:rFonts w:ascii="Times New Roman" w:hAnsi="Times New Roman"/>
        </w:rPr>
      </w:pPr>
    </w:p>
    <w:p>
      <w:pPr>
        <w:pStyle w:val="11"/>
        <w:spacing w:after="0" w:line="620" w:lineRule="exact"/>
        <w:rPr>
          <w:rFonts w:ascii="Times New Roman" w:hAnsi="Times New Roman"/>
        </w:rPr>
      </w:pPr>
    </w:p>
    <w:p>
      <w:pPr>
        <w:tabs>
          <w:tab w:val="left" w:pos="1078"/>
        </w:tabs>
        <w:spacing w:line="440" w:lineRule="exact"/>
        <w:ind w:firstLine="210" w:firstLineChars="100"/>
        <w:rPr>
          <w:rFonts w:ascii="Times New Roman" w:hAnsi="Times New Roman" w:eastAsia="仿宋_GB2312"/>
          <w:sz w:val="28"/>
          <w:szCs w:val="28"/>
        </w:rPr>
      </w:pPr>
      <w:r>
        <w:rPr>
          <w:rFonts w:ascii="Times New Roman" w:hAnsi="Times New Roman"/>
          <w:szCs w:val="24"/>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27940</wp:posOffset>
                </wp:positionV>
                <wp:extent cx="575310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57531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2pt;height:0pt;width:453pt;z-index:251659264;mso-width-relative:page;mso-height-relative:page;" filled="f" stroked="t" coordsize="21600,21600" o:gfxdata="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ZmydrdIAAAAEAQAADwAAAAAAAAABACAAAAA4AAAAZHJz&#10;L2Rvd25yZXYueG1sUEsBAhQAFAAAAAgAh07iQOac6Tr0AQAA5AMAAA4AAAAAAAAAAQAgAAAANwEA&#10;AGRycy9lMm9Eb2MueG1sUEsFBgAAAAAGAAYAWQEAAJ0FAAAAAA==&#10;">
                <v:fill on="f" focussize="0,0"/>
                <v:stroke color="#000000" joinstyle="round"/>
                <v:imagedata o:title=""/>
                <o:lock v:ext="edit" aspectratio="f"/>
              </v:line>
            </w:pict>
          </mc:Fallback>
        </mc:AlternateContent>
      </w:r>
      <w:r>
        <w:rPr>
          <w:rFonts w:ascii="Times New Roman" w:hAnsi="Times New Roman" w:eastAsia="仿宋_GB2312"/>
          <w:sz w:val="28"/>
          <w:szCs w:val="28"/>
        </w:rPr>
        <w:t>送：县委各部门，县人武部。</w:t>
      </w:r>
    </w:p>
    <w:p>
      <w:pPr>
        <w:tabs>
          <w:tab w:val="left" w:pos="798"/>
        </w:tabs>
        <w:spacing w:line="440" w:lineRule="exact"/>
        <w:ind w:firstLine="798" w:firstLineChars="285"/>
        <w:rPr>
          <w:rFonts w:ascii="Times New Roman" w:hAnsi="Times New Roman" w:eastAsia="仿宋_GB2312"/>
          <w:sz w:val="28"/>
          <w:szCs w:val="28"/>
        </w:rPr>
      </w:pPr>
      <w:r>
        <w:rPr>
          <w:rFonts w:ascii="Times New Roman" w:hAnsi="Times New Roman" w:eastAsia="仿宋_GB2312"/>
          <w:sz w:val="28"/>
          <w:szCs w:val="28"/>
        </w:rPr>
        <w:t>县人大常委会办公室，县政协办公室，县监委，县人民法院，</w:t>
      </w:r>
    </w:p>
    <w:p>
      <w:pPr>
        <w:spacing w:line="440" w:lineRule="exact"/>
        <w:ind w:firstLine="798" w:firstLineChars="285"/>
        <w:rPr>
          <w:rFonts w:ascii="Times New Roman" w:hAnsi="Times New Roman" w:eastAsia="仿宋_GB2312"/>
          <w:sz w:val="28"/>
          <w:szCs w:val="28"/>
        </w:rPr>
      </w:pPr>
      <w:r>
        <w:rPr>
          <w:rFonts w:ascii="Times New Roman" w:hAnsi="Times New Roman" w:eastAsia="仿宋_GB2312"/>
          <w:sz w:val="28"/>
          <w:szCs w:val="28"/>
        </w:rPr>
        <w:t>县人民检察院。</w:t>
      </w:r>
    </w:p>
    <w:p>
      <w:pPr>
        <w:tabs>
          <w:tab w:val="left" w:pos="8749"/>
          <w:tab w:val="right" w:pos="9072"/>
        </w:tabs>
        <w:spacing w:line="500" w:lineRule="exact"/>
        <w:ind w:firstLine="210" w:firstLineChars="100"/>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360680</wp:posOffset>
                </wp:positionV>
                <wp:extent cx="5753100"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7531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8.4pt;height:0pt;width:453pt;z-index:251660288;mso-width-relative:page;mso-height-relative:page;" filled="f" stroked="t" coordsize="21600,21600" o:gfxdata="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WAAAAZHJzL1BLAQIUABQAAAAIAIdO4kBkHXI90wAAAAYBAAAPAAAAAAAAAAEAIAAAADgAAABk&#10;cnMvZG93bnJldi54bWxQSwECFAAUAAAACACHTuJAxEoh4PUBAADkAwAADgAAAAAAAAABACAAAAA4&#10;AQAAZHJzL2Uyb0RvYy54bWxQSwUGAAAAAAYABgBZAQAAnwU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29210</wp:posOffset>
                </wp:positionV>
                <wp:extent cx="575310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7531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3pt;height:0pt;width:453pt;z-index:251661312;mso-width-relative:page;mso-height-relative:page;" filled="f" stroked="t" coordsize="21600,21600" o:gfxdata="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&#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EZDZJ3SAAAABAEAAA8AAAAAAAAAAQAgAAAAOAAAAGRy&#10;cy9kb3ducmV2LnhtbFBLAQIUABQAAAAIAIdO4kDVIUWN9QEAAOQDAAAOAAAAAAAAAAEAIAAAADcB&#10;AABkcnMvZTJvRG9jLnhtbFBLBQYAAAAABgAGAFkBAACeBQAAAAA=&#10;">
                <v:fill on="f" focussize="0,0"/>
                <v:stroke color="#000000" joinstyle="round"/>
                <v:imagedata o:title=""/>
                <o:lock v:ext="edit" aspectratio="f"/>
              </v:line>
            </w:pict>
          </mc:Fallback>
        </mc:AlternateContent>
      </w:r>
      <w:r>
        <w:rPr>
          <w:rFonts w:ascii="Times New Roman" w:hAnsi="Times New Roman" w:eastAsia="仿宋_GB2312"/>
          <w:sz w:val="28"/>
          <w:szCs w:val="28"/>
        </w:rPr>
        <w:t xml:space="preserve">新晃侗族自治县人民政府办公室             </w:t>
      </w:r>
      <w:r>
        <w:rPr>
          <w:rFonts w:hint="eastAsia" w:ascii="Times New Roman" w:hAnsi="Times New Roman" w:eastAsia="仿宋_GB2312"/>
          <w:sz w:val="28"/>
          <w:szCs w:val="28"/>
          <w:lang w:val="en-US" w:eastAsia="zh-CN"/>
        </w:rPr>
        <w:t>2026</w:t>
      </w:r>
      <w:r>
        <w:rPr>
          <w:rFonts w:ascii="Times New Roman" w:hAnsi="Times New Roman" w:eastAsia="仿宋_GB2312"/>
          <w:sz w:val="28"/>
          <w:szCs w:val="28"/>
        </w:rPr>
        <w:t>年</w:t>
      </w:r>
      <w:r>
        <w:rPr>
          <w:rFonts w:hint="eastAsia" w:ascii="Times New Roman" w:hAnsi="Times New Roman" w:eastAsia="仿宋_GB2312"/>
          <w:sz w:val="28"/>
          <w:szCs w:val="28"/>
          <w:lang w:val="en-US" w:eastAsia="zh-CN"/>
        </w:rPr>
        <w:t>10</w:t>
      </w:r>
      <w:r>
        <w:rPr>
          <w:rFonts w:ascii="Times New Roman" w:hAnsi="Times New Roman" w:eastAsia="仿宋_GB2312"/>
          <w:sz w:val="28"/>
          <w:szCs w:val="28"/>
        </w:rPr>
        <w:t>月</w:t>
      </w:r>
      <w:r>
        <w:rPr>
          <w:rFonts w:hint="eastAsia" w:ascii="Times New Roman" w:hAnsi="Times New Roman" w:eastAsia="仿宋_GB2312"/>
          <w:sz w:val="28"/>
          <w:szCs w:val="28"/>
          <w:lang w:val="en-US" w:eastAsia="zh-CN"/>
        </w:rPr>
        <w:t>9</w:t>
      </w:r>
      <w:r>
        <w:rPr>
          <w:rFonts w:ascii="Times New Roman" w:hAnsi="Times New Roman" w:eastAsia="仿宋_GB2312"/>
          <w:sz w:val="28"/>
          <w:szCs w:val="28"/>
        </w:rPr>
        <w:t xml:space="preserve">日印发 </w:t>
      </w:r>
    </w:p>
    <w:p>
      <w:pPr>
        <w:rPr>
          <w:rStyle w:val="21"/>
          <w:rFonts w:ascii="Times New Roman" w:hAnsi="Times New Roman" w:eastAsia="方正小标宋简体" w:cs="Times New Roman"/>
          <w:sz w:val="44"/>
          <w:szCs w:val="44"/>
        </w:rPr>
      </w:pPr>
    </w:p>
    <w:p>
      <w:pPr>
        <w:rPr>
          <w:rStyle w:val="21"/>
          <w:rFonts w:ascii="Times New Roman" w:hAnsi="Times New Roman" w:eastAsia="方正小标宋简体" w:cs="Times New Roman"/>
          <w:sz w:val="44"/>
          <w:szCs w:val="44"/>
        </w:rPr>
        <w:sectPr>
          <w:headerReference r:id="rId3" w:type="first"/>
          <w:footerReference r:id="rId6" w:type="first"/>
          <w:footerReference r:id="rId4" w:type="default"/>
          <w:footerReference r:id="rId5" w:type="even"/>
          <w:pgSz w:w="11907" w:h="16840"/>
          <w:pgMar w:top="1701" w:right="1304" w:bottom="1134" w:left="1531" w:header="851" w:footer="850" w:gutter="0"/>
          <w:pgNumType w:fmt="decimal"/>
          <w:cols w:space="0" w:num="1"/>
          <w:rtlGutter w:val="0"/>
          <w:docGrid w:linePitch="286" w:charSpace="0"/>
        </w:sectPr>
      </w:pPr>
    </w:p>
    <w:p>
      <w:pPr>
        <w:spacing w:before="240" w:beforeLines="100"/>
        <w:jc w:val="center"/>
        <w:rPr>
          <w:rFonts w:ascii="Times New Roman" w:hAnsi="Times New Roman" w:eastAsia="方正小标宋简体" w:cs="Times New Roman"/>
          <w:spacing w:val="10"/>
          <w:sz w:val="54"/>
          <w:szCs w:val="48"/>
        </w:rPr>
      </w:pPr>
      <w:bookmarkStart w:id="0" w:name="OLE_LINK69"/>
      <w:r>
        <w:rPr>
          <w:rFonts w:ascii="Times New Roman" w:hAnsi="Times New Roman" w:eastAsia="方正小标宋简体" w:cs="Times New Roman"/>
          <w:spacing w:val="10"/>
          <w:sz w:val="54"/>
          <w:szCs w:val="48"/>
        </w:rPr>
        <w:t>新晃侗族自治县国民经济和社会发展第十五个五年规划纲要</w:t>
      </w:r>
      <w:bookmarkEnd w:id="0"/>
    </w:p>
    <w:p>
      <w:pPr>
        <w:adjustRightInd w:val="0"/>
        <w:snapToGrid w:val="0"/>
        <w:spacing w:line="600" w:lineRule="exact"/>
        <w:jc w:val="center"/>
        <w:rPr>
          <w:rFonts w:eastAsia="楷体_GB2312"/>
          <w:color w:val="000000" w:themeColor="text1"/>
          <w:sz w:val="36"/>
          <w:szCs w:val="36"/>
          <w14:textFill>
            <w14:solidFill>
              <w14:schemeClr w14:val="tx1"/>
            </w14:solidFill>
          </w14:textFill>
        </w:rPr>
      </w:pPr>
      <w:r>
        <w:rPr>
          <w:rFonts w:ascii="Times New Roman" w:hAnsi="Times New Roman" w:eastAsia="楷体_GB2312" w:cs="Times New Roman"/>
          <w:color w:val="000000" w:themeColor="text1"/>
          <w:sz w:val="36"/>
          <w:szCs w:val="36"/>
          <w14:textFill>
            <w14:solidFill>
              <w14:schemeClr w14:val="tx1"/>
            </w14:solidFill>
          </w14:textFill>
        </w:rPr>
        <w:t>（2025年12月2</w:t>
      </w:r>
      <w:r>
        <w:rPr>
          <w:rFonts w:hint="eastAsia" w:ascii="Times New Roman" w:hAnsi="Times New Roman" w:eastAsia="楷体_GB2312" w:cs="Times New Roman"/>
          <w:color w:val="000000" w:themeColor="text1"/>
          <w:sz w:val="36"/>
          <w:szCs w:val="36"/>
          <w:lang w:val="en-US" w:eastAsia="zh-CN"/>
          <w14:textFill>
            <w14:solidFill>
              <w14:schemeClr w14:val="tx1"/>
            </w14:solidFill>
          </w14:textFill>
        </w:rPr>
        <w:t>2</w:t>
      </w:r>
      <w:r>
        <w:rPr>
          <w:rFonts w:ascii="Times New Roman" w:hAnsi="Times New Roman" w:eastAsia="楷体_GB2312" w:cs="Times New Roman"/>
          <w:color w:val="000000" w:themeColor="text1"/>
          <w:sz w:val="36"/>
          <w:szCs w:val="36"/>
          <w14:textFill>
            <w14:solidFill>
              <w14:schemeClr w14:val="tx1"/>
            </w14:solidFill>
          </w14:textFill>
        </w:rPr>
        <w:t>日</w:t>
      </w:r>
      <w:r>
        <w:rPr>
          <w:rFonts w:hint="eastAsia" w:ascii="Times New Roman" w:hAnsi="Times New Roman" w:eastAsia="楷体_GB2312" w:cs="Times New Roman"/>
          <w:color w:val="000000" w:themeColor="text1"/>
          <w:sz w:val="36"/>
          <w:szCs w:val="36"/>
          <w:lang w:eastAsia="zh-CN"/>
          <w14:textFill>
            <w14:solidFill>
              <w14:schemeClr w14:val="tx1"/>
            </w14:solidFill>
          </w14:textFill>
        </w:rPr>
        <w:t>新晃侗族自治县</w:t>
      </w:r>
      <w:r>
        <w:rPr>
          <w:rFonts w:ascii="Times New Roman" w:hAnsi="Times New Roman" w:eastAsia="楷体_GB2312" w:cs="Times New Roman"/>
          <w:color w:val="000000" w:themeColor="text1"/>
          <w:sz w:val="36"/>
          <w:szCs w:val="36"/>
          <w14:textFill>
            <w14:solidFill>
              <w14:schemeClr w14:val="tx1"/>
            </w14:solidFill>
          </w14:textFill>
        </w:rPr>
        <w:t>第</w:t>
      </w:r>
      <w:r>
        <w:rPr>
          <w:rFonts w:hint="eastAsia" w:ascii="Times New Roman" w:hAnsi="Times New Roman" w:eastAsia="楷体_GB2312" w:cs="Times New Roman"/>
          <w:color w:val="000000" w:themeColor="text1"/>
          <w:sz w:val="36"/>
          <w:szCs w:val="36"/>
          <w:lang w:eastAsia="zh-CN"/>
          <w14:textFill>
            <w14:solidFill>
              <w14:schemeClr w14:val="tx1"/>
            </w14:solidFill>
          </w14:textFill>
        </w:rPr>
        <w:t>十八</w:t>
      </w:r>
      <w:r>
        <w:rPr>
          <w:rFonts w:ascii="Times New Roman" w:hAnsi="Times New Roman" w:eastAsia="楷体_GB2312" w:cs="Times New Roman"/>
          <w:color w:val="000000" w:themeColor="text1"/>
          <w:sz w:val="36"/>
          <w:szCs w:val="36"/>
          <w14:textFill>
            <w14:solidFill>
              <w14:schemeClr w14:val="tx1"/>
            </w14:solidFill>
          </w14:textFill>
        </w:rPr>
        <w:t>届人民代表大会第五次会议批准）</w:t>
      </w:r>
    </w:p>
    <w:p>
      <w:pPr>
        <w:spacing w:before="240" w:beforeLines="100"/>
        <w:jc w:val="center"/>
        <w:rPr>
          <w:rFonts w:ascii="Times New Roman" w:hAnsi="Times New Roman" w:eastAsia="方正小标宋简体" w:cs="Times New Roman"/>
          <w:spacing w:val="10"/>
          <w:sz w:val="54"/>
          <w:szCs w:val="48"/>
        </w:rPr>
      </w:pPr>
    </w:p>
    <w:p>
      <w:pPr>
        <w:jc w:val="center"/>
        <w:rPr>
          <w:rFonts w:ascii="Times New Roman" w:hAnsi="Times New Roman" w:cs="Times New Roman"/>
          <w:sz w:val="30"/>
          <w:szCs w:val="30"/>
        </w:rPr>
      </w:pPr>
    </w:p>
    <w:p>
      <w:pPr>
        <w:jc w:val="center"/>
        <w:rPr>
          <w:rFonts w:ascii="Times New Roman" w:hAnsi="Times New Roman" w:cs="Times New Roman"/>
          <w:sz w:val="30"/>
          <w:szCs w:val="30"/>
        </w:rPr>
      </w:pPr>
    </w:p>
    <w:p>
      <w:pPr>
        <w:jc w:val="center"/>
        <w:rPr>
          <w:rFonts w:ascii="Times New Roman" w:hAnsi="Times New Roman" w:cs="Times New Roman"/>
          <w:sz w:val="30"/>
          <w:szCs w:val="30"/>
        </w:rPr>
      </w:pPr>
    </w:p>
    <w:p>
      <w:pPr>
        <w:spacing w:after="120" w:afterLines="50"/>
        <w:jc w:val="center"/>
        <w:rPr>
          <w:rFonts w:ascii="Times New Roman" w:hAnsi="Times New Roman" w:cs="Times New Roman"/>
          <w:b/>
          <w:sz w:val="30"/>
          <w:szCs w:val="30"/>
        </w:rPr>
      </w:pPr>
    </w:p>
    <w:p>
      <w:pPr>
        <w:pStyle w:val="2"/>
        <w:ind w:firstLine="0" w:firstLineChars="0"/>
        <w:rPr>
          <w:rFonts w:cs="Times New Roman"/>
          <w:b/>
          <w:sz w:val="30"/>
          <w:szCs w:val="30"/>
        </w:rPr>
      </w:pPr>
    </w:p>
    <w:p>
      <w:pPr>
        <w:pStyle w:val="2"/>
        <w:ind w:firstLine="0" w:firstLineChars="0"/>
        <w:rPr>
          <w:rFonts w:cs="Times New Roman"/>
          <w:b/>
          <w:sz w:val="30"/>
          <w:szCs w:val="30"/>
        </w:rPr>
      </w:pPr>
    </w:p>
    <w:p>
      <w:pPr>
        <w:pStyle w:val="2"/>
        <w:ind w:firstLine="0" w:firstLineChars="0"/>
        <w:rPr>
          <w:rFonts w:cs="Times New Roman"/>
          <w:b/>
          <w:sz w:val="30"/>
          <w:szCs w:val="30"/>
        </w:rPr>
      </w:pPr>
    </w:p>
    <w:p>
      <w:pPr>
        <w:pStyle w:val="2"/>
        <w:ind w:firstLine="0" w:firstLineChars="0"/>
        <w:rPr>
          <w:rFonts w:cs="Times New Roman"/>
          <w:b/>
          <w:sz w:val="30"/>
          <w:szCs w:val="30"/>
        </w:rPr>
      </w:pPr>
    </w:p>
    <w:p>
      <w:pPr>
        <w:pStyle w:val="2"/>
        <w:ind w:firstLine="0" w:firstLineChars="0"/>
        <w:rPr>
          <w:rFonts w:cs="Times New Roman"/>
          <w:b/>
          <w:sz w:val="30"/>
          <w:szCs w:val="30"/>
        </w:rPr>
      </w:pPr>
    </w:p>
    <w:p>
      <w:pPr>
        <w:pStyle w:val="39"/>
        <w:ind w:firstLine="0" w:firstLineChars="0"/>
        <w:rPr>
          <w:rFonts w:cs="Times New Roman"/>
        </w:rPr>
      </w:pPr>
    </w:p>
    <w:p>
      <w:pPr>
        <w:ind w:left="-210" w:leftChars="-100" w:right="-210" w:rightChars="-100"/>
        <w:jc w:val="center"/>
        <w:rPr>
          <w:rFonts w:ascii="Times New Roman" w:hAnsi="Times New Roman" w:eastAsia="黑体" w:cs="Times New Roman"/>
          <w:sz w:val="40"/>
          <w:szCs w:val="36"/>
        </w:rPr>
      </w:pPr>
    </w:p>
    <w:p>
      <w:pPr>
        <w:ind w:left="-210" w:leftChars="-100" w:right="-210" w:rightChars="-100"/>
        <w:jc w:val="center"/>
        <w:rPr>
          <w:rFonts w:ascii="Times New Roman" w:hAnsi="Times New Roman" w:eastAsia="黑体" w:cs="Times New Roman"/>
          <w:sz w:val="40"/>
          <w:szCs w:val="36"/>
        </w:rPr>
      </w:pPr>
    </w:p>
    <w:p>
      <w:pPr>
        <w:ind w:left="-210" w:leftChars="-100" w:right="-210" w:rightChars="-100"/>
        <w:jc w:val="center"/>
        <w:rPr>
          <w:rFonts w:ascii="Times New Roman" w:hAnsi="Times New Roman" w:eastAsia="黑体" w:cs="Times New Roman"/>
          <w:sz w:val="40"/>
          <w:szCs w:val="36"/>
        </w:rPr>
      </w:pPr>
    </w:p>
    <w:p>
      <w:pPr>
        <w:spacing w:before="120" w:beforeLines="50" w:after="120" w:afterLines="50"/>
        <w:jc w:val="center"/>
        <w:rPr>
          <w:rFonts w:ascii="Times New Roman" w:hAnsi="Times New Roman" w:cs="Times New Roman"/>
        </w:rPr>
      </w:pPr>
    </w:p>
    <w:p>
      <w:pPr>
        <w:pStyle w:val="2"/>
      </w:pPr>
    </w:p>
    <w:p>
      <w:pPr>
        <w:spacing w:before="120" w:beforeLines="50" w:after="120" w:afterLines="50"/>
        <w:jc w:val="center"/>
        <w:rPr>
          <w:rFonts w:ascii="Times New Roman" w:hAnsi="Times New Roman" w:cs="Times New Roman"/>
        </w:rPr>
      </w:pPr>
    </w:p>
    <w:p>
      <w:pPr>
        <w:spacing w:before="120" w:beforeLines="50" w:after="120" w:afterLines="50"/>
        <w:jc w:val="center"/>
        <w:rPr>
          <w:rFonts w:ascii="Times New Roman" w:hAnsi="Times New Roman" w:cs="Times New Roman"/>
        </w:rPr>
      </w:pPr>
    </w:p>
    <w:p>
      <w:pPr>
        <w:spacing w:before="120" w:beforeLines="50" w:after="120" w:afterLines="50"/>
        <w:jc w:val="center"/>
        <w:rPr>
          <w:rFonts w:ascii="Times New Roman" w:hAnsi="Times New Roman" w:cs="Times New Roman"/>
        </w:rPr>
      </w:pPr>
    </w:p>
    <w:p>
      <w:pPr>
        <w:spacing w:before="120" w:beforeLines="50" w:after="120" w:afterLines="50"/>
        <w:jc w:val="center"/>
        <w:rPr>
          <w:rFonts w:ascii="Times New Roman" w:hAnsi="Times New Roman" w:cs="Times New Roman"/>
        </w:rPr>
      </w:pPr>
    </w:p>
    <w:p>
      <w:pPr>
        <w:rPr>
          <w:rFonts w:ascii="Times New Roman" w:hAnsi="Times New Roman" w:eastAsia="黑体" w:cs="Times New Roman"/>
          <w:sz w:val="44"/>
          <w:szCs w:val="44"/>
        </w:rPr>
      </w:pPr>
      <w:r>
        <w:rPr>
          <w:rFonts w:ascii="Times New Roman" w:hAnsi="Times New Roman" w:eastAsia="黑体" w:cs="Times New Roman"/>
          <w:sz w:val="44"/>
          <w:szCs w:val="44"/>
        </w:rPr>
        <w:br w:type="page"/>
      </w:r>
    </w:p>
    <w:p>
      <w:pPr>
        <w:jc w:val="center"/>
        <w:rPr>
          <w:rFonts w:ascii="Times New Roman" w:hAnsi="Times New Roman" w:eastAsia="黑体" w:cs="Times New Roman"/>
          <w:sz w:val="44"/>
          <w:szCs w:val="44"/>
        </w:rPr>
      </w:pPr>
      <w:r>
        <w:rPr>
          <w:rFonts w:ascii="Times New Roman" w:hAnsi="Times New Roman" w:eastAsia="黑体" w:cs="Times New Roman"/>
          <w:sz w:val="44"/>
          <w:szCs w:val="44"/>
        </w:rPr>
        <w:t>目  录</w:t>
      </w:r>
    </w:p>
    <w:sdt>
      <w:sdtPr>
        <w:rPr>
          <w:rStyle w:val="22"/>
          <w:rFonts w:ascii="Times New Roman" w:hAnsi="Times New Roman" w:cs="Times New Roman"/>
          <w:caps/>
          <w:color w:val="auto"/>
          <w:sz w:val="28"/>
          <w:szCs w:val="28"/>
        </w:rPr>
        <w:id w:val="147467188"/>
        <w15:color w:val="DBDBDB"/>
        <w:docPartObj>
          <w:docPartGallery w:val="Table of Contents"/>
          <w:docPartUnique/>
        </w:docPartObj>
      </w:sdtPr>
      <w:sdtEndPr>
        <w:rPr>
          <w:rStyle w:val="20"/>
          <w:rFonts w:ascii="Times New Roman" w:hAnsi="Times New Roman" w:eastAsia="黑体" w:cs="Times New Roman"/>
          <w:b/>
          <w:bCs/>
          <w:caps w:val="0"/>
          <w:color w:val="auto"/>
          <w:sz w:val="28"/>
          <w:szCs w:val="28"/>
          <w:u w:val="none"/>
        </w:rPr>
      </w:sdtEndPr>
      <w:sdtContent>
        <w:p>
          <w:pPr>
            <w:jc w:val="center"/>
            <w:rPr>
              <w:rFonts w:ascii="Times New Roman" w:hAnsi="Times New Roman" w:eastAsia="楷体" w:cs="Times New Roman"/>
              <w:b/>
              <w:bCs/>
              <w:caps/>
              <w:sz w:val="36"/>
              <w:szCs w:val="40"/>
              <w14:ligatures w14:val="standardContextual"/>
            </w:rPr>
          </w:pPr>
          <w:r>
            <w:rPr>
              <w:rFonts w:ascii="Times New Roman" w:hAnsi="Times New Roman" w:eastAsia="楷体" w:cs="Times New Roman"/>
              <w:b/>
              <w:bCs/>
              <w:caps/>
              <w:sz w:val="144"/>
              <w:szCs w:val="144"/>
            </w:rPr>
            <w:fldChar w:fldCharType="begin"/>
          </w:r>
          <w:r>
            <w:rPr>
              <w:rFonts w:ascii="Times New Roman" w:hAnsi="Times New Roman" w:eastAsia="楷体" w:cs="Times New Roman"/>
              <w:sz w:val="144"/>
              <w:szCs w:val="144"/>
            </w:rPr>
            <w:instrText xml:space="preserve">TOC \o "1-2" \h \u </w:instrText>
          </w:r>
          <w:r>
            <w:rPr>
              <w:rFonts w:ascii="Times New Roman" w:hAnsi="Times New Roman" w:eastAsia="楷体" w:cs="Times New Roman"/>
              <w:b/>
              <w:bCs/>
              <w:caps/>
              <w:sz w:val="144"/>
              <w:szCs w:val="144"/>
            </w:rPr>
            <w:fldChar w:fldCharType="separate"/>
          </w:r>
        </w:p>
        <w:p>
          <w:pPr>
            <w:pStyle w:val="14"/>
            <w:tabs>
              <w:tab w:val="left" w:pos="1320"/>
              <w:tab w:val="right" w:leader="dot" w:pos="8948"/>
            </w:tabs>
            <w:ind w:firstLine="0" w:firstLineChars="0"/>
            <w:rPr>
              <w:rFonts w:eastAsia="黑体" w:cs="Times New Roman"/>
              <w:b w:val="0"/>
              <w:bCs w:val="0"/>
              <w:caps w:val="0"/>
              <w:sz w:val="32"/>
              <w:szCs w:val="32"/>
              <w14:ligatures w14:val="standardContextual"/>
            </w:rPr>
          </w:pPr>
          <w:r>
            <w:fldChar w:fldCharType="begin"/>
          </w:r>
          <w:r>
            <w:instrText xml:space="preserve"> HYPERLINK \l "_Toc216945802" </w:instrText>
          </w:r>
          <w:r>
            <w:fldChar w:fldCharType="separate"/>
          </w:r>
          <w:r>
            <w:rPr>
              <w:rStyle w:val="22"/>
              <w:rFonts w:eastAsia="黑体" w:cs="Times New Roman"/>
              <w:b w:val="0"/>
              <w:bCs w:val="0"/>
              <w:color w:val="auto"/>
              <w:spacing w:val="-17"/>
              <w:sz w:val="32"/>
              <w:szCs w:val="32"/>
            </w:rPr>
            <w:t>第一章</w:t>
          </w:r>
          <w:r>
            <w:rPr>
              <w:rFonts w:eastAsia="黑体" w:cs="Times New Roman"/>
              <w:b w:val="0"/>
              <w:bCs w:val="0"/>
              <w:caps w:val="0"/>
              <w:sz w:val="32"/>
              <w:szCs w:val="32"/>
              <w14:ligatures w14:val="standardContextual"/>
            </w:rPr>
            <w:tab/>
          </w:r>
          <w:r>
            <w:rPr>
              <w:rStyle w:val="22"/>
              <w:rFonts w:eastAsia="黑体" w:cs="Times New Roman"/>
              <w:b w:val="0"/>
              <w:bCs w:val="0"/>
              <w:color w:val="auto"/>
              <w:sz w:val="32"/>
              <w:szCs w:val="32"/>
            </w:rPr>
            <w:t>加速跨越赶超 奋力开启新晃高质量发展新征程</w:t>
          </w:r>
          <w:r>
            <w:rPr>
              <w:rFonts w:eastAsia="黑体" w:cs="Times New Roman"/>
              <w:b w:val="0"/>
              <w:bCs w:val="0"/>
              <w:sz w:val="32"/>
              <w:szCs w:val="32"/>
            </w:rPr>
            <w:tab/>
          </w:r>
          <w:r>
            <w:rPr>
              <w:rFonts w:eastAsia="黑体" w:cs="Times New Roman"/>
              <w:b w:val="0"/>
              <w:bCs w:val="0"/>
              <w:sz w:val="32"/>
              <w:szCs w:val="32"/>
            </w:rPr>
            <w:fldChar w:fldCharType="begin"/>
          </w:r>
          <w:r>
            <w:rPr>
              <w:rFonts w:eastAsia="黑体" w:cs="Times New Roman"/>
              <w:b w:val="0"/>
              <w:bCs w:val="0"/>
              <w:sz w:val="32"/>
              <w:szCs w:val="32"/>
            </w:rPr>
            <w:instrText xml:space="preserve"> PAGEREF _Toc216945802 \h </w:instrText>
          </w:r>
          <w:r>
            <w:rPr>
              <w:rFonts w:eastAsia="黑体" w:cs="Times New Roman"/>
              <w:b w:val="0"/>
              <w:bCs w:val="0"/>
              <w:sz w:val="32"/>
              <w:szCs w:val="32"/>
            </w:rPr>
            <w:fldChar w:fldCharType="separate"/>
          </w:r>
          <w:r>
            <w:rPr>
              <w:rFonts w:eastAsia="黑体" w:cs="Times New Roman"/>
              <w:b w:val="0"/>
              <w:bCs w:val="0"/>
              <w:sz w:val="32"/>
              <w:szCs w:val="32"/>
            </w:rPr>
            <w:t>2</w:t>
          </w:r>
          <w:r>
            <w:rPr>
              <w:rFonts w:eastAsia="黑体" w:cs="Times New Roman"/>
              <w:b w:val="0"/>
              <w:bCs w:val="0"/>
              <w:sz w:val="32"/>
              <w:szCs w:val="32"/>
            </w:rPr>
            <w:fldChar w:fldCharType="end"/>
          </w:r>
          <w:r>
            <w:rPr>
              <w:rFonts w:eastAsia="黑体" w:cs="Times New Roman"/>
              <w:b w:val="0"/>
              <w:bCs w:val="0"/>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"_Toc216945803" </w:instrText>
          </w:r>
          <w:r>
            <w:fldChar w:fldCharType="separate"/>
          </w:r>
          <w:r>
            <w:rPr>
              <w:rStyle w:val="22"/>
              <w:rFonts w:eastAsia="楷体" w:cs="Times New Roman"/>
              <w:color w:val="auto"/>
              <w:sz w:val="32"/>
              <w:szCs w:val="32"/>
              <w:lang w:val="en-GB"/>
            </w:rPr>
            <w:t>第一节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发展基础</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_Toc216945803 \h </w:instrText>
          </w:r>
          <w:r>
            <w:rPr>
              <w:rFonts w:eastAsia="楷体" w:cs="Times New Roman"/>
              <w:sz w:val="32"/>
              <w:szCs w:val="32"/>
            </w:rPr>
            <w:fldChar w:fldCharType="separate"/>
          </w:r>
          <w:r>
            <w:rPr>
              <w:rFonts w:eastAsia="楷体" w:cs="Times New Roman"/>
              <w:sz w:val="32"/>
              <w:szCs w:val="32"/>
            </w:rPr>
            <w:t>2</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"_Toc216945804" </w:instrText>
          </w:r>
          <w:r>
            <w:fldChar w:fldCharType="separate"/>
          </w:r>
          <w:r>
            <w:rPr>
              <w:rStyle w:val="22"/>
              <w:rFonts w:eastAsia="楷体" w:cs="Times New Roman"/>
              <w:color w:val="auto"/>
              <w:sz w:val="32"/>
              <w:szCs w:val="32"/>
              <w:lang w:val="en-GB"/>
            </w:rPr>
            <w:t>第二节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发展环境</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_Toc216945804 \h </w:instrText>
          </w:r>
          <w:r>
            <w:rPr>
              <w:rFonts w:eastAsia="楷体" w:cs="Times New Roman"/>
              <w:sz w:val="32"/>
              <w:szCs w:val="32"/>
            </w:rPr>
            <w:fldChar w:fldCharType="separate"/>
          </w:r>
          <w:r>
            <w:rPr>
              <w:rFonts w:eastAsia="楷体" w:cs="Times New Roman"/>
              <w:sz w:val="32"/>
              <w:szCs w:val="32"/>
            </w:rPr>
            <w:t>7</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"_Toc216945805" </w:instrText>
          </w:r>
          <w:r>
            <w:fldChar w:fldCharType="separate"/>
          </w:r>
          <w:r>
            <w:rPr>
              <w:rStyle w:val="22"/>
              <w:rFonts w:eastAsia="楷体" w:cs="Times New Roman"/>
              <w:color w:val="auto"/>
              <w:sz w:val="32"/>
              <w:szCs w:val="32"/>
              <w:lang w:val="en-GB"/>
            </w:rPr>
            <w:t>第三节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指导方针</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_Toc216945805 \h </w:instrText>
          </w:r>
          <w:r>
            <w:rPr>
              <w:rFonts w:eastAsia="楷体" w:cs="Times New Roman"/>
              <w:sz w:val="32"/>
              <w:szCs w:val="32"/>
            </w:rPr>
            <w:fldChar w:fldCharType="separate"/>
          </w:r>
          <w:r>
            <w:rPr>
              <w:rFonts w:eastAsia="楷体" w:cs="Times New Roman"/>
              <w:sz w:val="32"/>
              <w:szCs w:val="32"/>
            </w:rPr>
            <w:t>10</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"_Toc216945806" </w:instrText>
          </w:r>
          <w:r>
            <w:fldChar w:fldCharType="separate"/>
          </w:r>
          <w:r>
            <w:rPr>
              <w:rStyle w:val="22"/>
              <w:rFonts w:eastAsia="楷体" w:cs="Times New Roman"/>
              <w:color w:val="auto"/>
              <w:sz w:val="32"/>
              <w:szCs w:val="32"/>
              <w:lang w:val="en-GB"/>
            </w:rPr>
            <w:t>第四节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主要目标</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_Toc216945806 \h </w:instrText>
          </w:r>
          <w:r>
            <w:rPr>
              <w:rFonts w:eastAsia="楷体" w:cs="Times New Roman"/>
              <w:sz w:val="32"/>
              <w:szCs w:val="32"/>
            </w:rPr>
            <w:fldChar w:fldCharType="separate"/>
          </w:r>
          <w:r>
            <w:rPr>
              <w:rFonts w:eastAsia="楷体" w:cs="Times New Roman"/>
              <w:sz w:val="32"/>
              <w:szCs w:val="32"/>
            </w:rPr>
            <w:t>14</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Fonts w:eastAsia="黑体" w:cs="Times New Roman"/>
              <w:b w:val="0"/>
              <w:bCs w:val="0"/>
              <w:caps w:val="0"/>
              <w:sz w:val="32"/>
              <w:szCs w:val="32"/>
              <w14:ligatures w14:val="standardContextual"/>
            </w:rPr>
          </w:pPr>
          <w:r>
            <w:fldChar w:fldCharType="begin"/>
          </w:r>
          <w:r>
            <w:instrText xml:space="preserve"> HYPERLINK \l "_Toc216945807" </w:instrText>
          </w:r>
          <w:r>
            <w:fldChar w:fldCharType="separate"/>
          </w:r>
          <w:r>
            <w:rPr>
              <w:rStyle w:val="22"/>
              <w:rFonts w:eastAsia="黑体" w:cs="Times New Roman"/>
              <w:b w:val="0"/>
              <w:bCs w:val="0"/>
              <w:color w:val="auto"/>
              <w:sz w:val="32"/>
              <w:szCs w:val="32"/>
            </w:rPr>
            <w:t>第二章</w:t>
          </w:r>
          <w:r>
            <w:rPr>
              <w:rFonts w:eastAsia="黑体" w:cs="Times New Roman"/>
              <w:b w:val="0"/>
              <w:bCs w:val="0"/>
              <w:caps w:val="0"/>
              <w:sz w:val="32"/>
              <w:szCs w:val="32"/>
              <w14:ligatures w14:val="standardContextual"/>
            </w:rPr>
            <w:tab/>
          </w:r>
          <w:r>
            <w:rPr>
              <w:rStyle w:val="22"/>
              <w:rFonts w:eastAsia="黑体" w:cs="Times New Roman"/>
              <w:b w:val="0"/>
              <w:bCs w:val="0"/>
              <w:color w:val="auto"/>
              <w:sz w:val="32"/>
              <w:szCs w:val="32"/>
            </w:rPr>
            <w:t>践行使命担当 锻造向西开放战略桥头堡</w:t>
          </w:r>
          <w:r>
            <w:rPr>
              <w:rFonts w:eastAsia="黑体" w:cs="Times New Roman"/>
              <w:b w:val="0"/>
              <w:bCs w:val="0"/>
              <w:sz w:val="32"/>
              <w:szCs w:val="32"/>
            </w:rPr>
            <w:tab/>
          </w:r>
          <w:r>
            <w:rPr>
              <w:rFonts w:eastAsia="黑体" w:cs="Times New Roman"/>
              <w:b w:val="0"/>
              <w:bCs w:val="0"/>
              <w:sz w:val="32"/>
              <w:szCs w:val="32"/>
            </w:rPr>
            <w:fldChar w:fldCharType="begin"/>
          </w:r>
          <w:r>
            <w:rPr>
              <w:rFonts w:eastAsia="黑体" w:cs="Times New Roman"/>
              <w:b w:val="0"/>
              <w:bCs w:val="0"/>
              <w:sz w:val="32"/>
              <w:szCs w:val="32"/>
            </w:rPr>
            <w:instrText xml:space="preserve"> PAGEREF _Toc216945807 \h </w:instrText>
          </w:r>
          <w:r>
            <w:rPr>
              <w:rFonts w:eastAsia="黑体" w:cs="Times New Roman"/>
              <w:b w:val="0"/>
              <w:bCs w:val="0"/>
              <w:sz w:val="32"/>
              <w:szCs w:val="32"/>
            </w:rPr>
            <w:fldChar w:fldCharType="separate"/>
          </w:r>
          <w:r>
            <w:rPr>
              <w:rFonts w:eastAsia="黑体" w:cs="Times New Roman"/>
              <w:b w:val="0"/>
              <w:bCs w:val="0"/>
              <w:sz w:val="32"/>
              <w:szCs w:val="32"/>
            </w:rPr>
            <w:t>18</w:t>
          </w:r>
          <w:r>
            <w:rPr>
              <w:rFonts w:eastAsia="黑体" w:cs="Times New Roman"/>
              <w:b w:val="0"/>
              <w:bCs w:val="0"/>
              <w:sz w:val="32"/>
              <w:szCs w:val="32"/>
            </w:rPr>
            <w:fldChar w:fldCharType="end"/>
          </w:r>
          <w:r>
            <w:rPr>
              <w:rFonts w:eastAsia="黑体" w:cs="Times New Roman"/>
              <w:b w:val="0"/>
              <w:bCs w:val="0"/>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"_Toc216945808" </w:instrText>
          </w:r>
          <w:r>
            <w:fldChar w:fldCharType="separate"/>
          </w:r>
          <w:r>
            <w:rPr>
              <w:rStyle w:val="22"/>
              <w:rFonts w:eastAsia="楷体" w:cs="Times New Roman"/>
              <w:color w:val="auto"/>
              <w:sz w:val="32"/>
              <w:szCs w:val="32"/>
            </w:rPr>
            <w:t>第一节</w:t>
          </w:r>
          <w:r>
            <w:rPr>
              <w:rFonts w:eastAsia="楷体" w:cs="Times New Roman"/>
              <w:smallCaps w:val="0"/>
              <w:sz w:val="32"/>
              <w:szCs w:val="32"/>
              <w14:ligatures w14:val="standardContextual"/>
            </w:rPr>
            <w:tab/>
          </w:r>
          <w:r>
            <w:rPr>
              <w:rStyle w:val="22"/>
              <w:rFonts w:eastAsia="楷体" w:cs="Times New Roman"/>
              <w:color w:val="auto"/>
              <w:sz w:val="32"/>
              <w:szCs w:val="32"/>
            </w:rPr>
            <w:t>对接国家发展大战略</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_Toc216945808 \h </w:instrText>
          </w:r>
          <w:r>
            <w:rPr>
              <w:rFonts w:eastAsia="楷体" w:cs="Times New Roman"/>
              <w:sz w:val="32"/>
              <w:szCs w:val="32"/>
            </w:rPr>
            <w:fldChar w:fldCharType="separate"/>
          </w:r>
          <w:r>
            <w:rPr>
              <w:rFonts w:eastAsia="楷体" w:cs="Times New Roman"/>
              <w:sz w:val="32"/>
              <w:szCs w:val="32"/>
            </w:rPr>
            <w:t>18</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"_Toc216945809" </w:instrText>
          </w:r>
          <w:r>
            <w:fldChar w:fldCharType="separate"/>
          </w:r>
          <w:r>
            <w:rPr>
              <w:rStyle w:val="22"/>
              <w:rFonts w:eastAsia="楷体" w:cs="Times New Roman"/>
              <w:color w:val="auto"/>
              <w:sz w:val="32"/>
              <w:szCs w:val="32"/>
            </w:rPr>
            <w:t>第二节</w:t>
          </w:r>
          <w:r>
            <w:rPr>
              <w:rFonts w:eastAsia="楷体" w:cs="Times New Roman"/>
              <w:smallCaps w:val="0"/>
              <w:sz w:val="32"/>
              <w:szCs w:val="32"/>
              <w14:ligatures w14:val="standardContextual"/>
            </w:rPr>
            <w:tab/>
          </w:r>
          <w:r>
            <w:rPr>
              <w:rStyle w:val="22"/>
              <w:rFonts w:eastAsia="楷体" w:cs="Times New Roman"/>
              <w:color w:val="auto"/>
              <w:sz w:val="32"/>
              <w:szCs w:val="32"/>
            </w:rPr>
            <w:t>融入区域发展大版图</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_Toc216945809 \h </w:instrText>
          </w:r>
          <w:r>
            <w:rPr>
              <w:rFonts w:eastAsia="楷体" w:cs="Times New Roman"/>
              <w:sz w:val="32"/>
              <w:szCs w:val="32"/>
            </w:rPr>
            <w:fldChar w:fldCharType="separate"/>
          </w:r>
          <w:r>
            <w:rPr>
              <w:rFonts w:eastAsia="楷体" w:cs="Times New Roman"/>
              <w:sz w:val="32"/>
              <w:szCs w:val="32"/>
            </w:rPr>
            <w:t>20</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"_Toc216945810" </w:instrText>
          </w:r>
          <w:r>
            <w:fldChar w:fldCharType="separate"/>
          </w:r>
          <w:r>
            <w:rPr>
              <w:rStyle w:val="22"/>
              <w:rFonts w:eastAsia="楷体" w:cs="Times New Roman"/>
              <w:color w:val="auto"/>
              <w:sz w:val="32"/>
              <w:szCs w:val="32"/>
            </w:rPr>
            <w:t>第三节</w:t>
          </w:r>
          <w:r>
            <w:rPr>
              <w:rFonts w:eastAsia="楷体" w:cs="Times New Roman"/>
              <w:smallCaps w:val="0"/>
              <w:sz w:val="32"/>
              <w:szCs w:val="32"/>
              <w14:ligatures w14:val="standardContextual"/>
            </w:rPr>
            <w:tab/>
          </w:r>
          <w:r>
            <w:rPr>
              <w:rStyle w:val="22"/>
              <w:rFonts w:eastAsia="楷体" w:cs="Times New Roman"/>
              <w:color w:val="auto"/>
              <w:sz w:val="32"/>
              <w:szCs w:val="32"/>
            </w:rPr>
            <w:t>担当湘黔合作主力军</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_Toc216945810 \h </w:instrText>
          </w:r>
          <w:r>
            <w:rPr>
              <w:rFonts w:eastAsia="楷体" w:cs="Times New Roman"/>
              <w:sz w:val="32"/>
              <w:szCs w:val="32"/>
            </w:rPr>
            <w:fldChar w:fldCharType="separate"/>
          </w:r>
          <w:r>
            <w:rPr>
              <w:rFonts w:eastAsia="楷体" w:cs="Times New Roman"/>
              <w:sz w:val="32"/>
              <w:szCs w:val="32"/>
            </w:rPr>
            <w:t>21</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Style w:val="22"/>
              <w:rFonts w:eastAsia="黑体" w:cs="Times New Roman"/>
              <w:b w:val="0"/>
              <w:bCs w:val="0"/>
              <w:color w:val="auto"/>
              <w:sz w:val="32"/>
              <w:szCs w:val="32"/>
            </w:rPr>
          </w:pPr>
          <w:r>
            <w:fldChar w:fldCharType="begin"/>
          </w:r>
          <w:r>
            <w:instrText xml:space="preserve"> HYPERLINK \l "_Toc216945811" </w:instrText>
          </w:r>
          <w:r>
            <w:fldChar w:fldCharType="separate"/>
          </w:r>
          <w:r>
            <w:rPr>
              <w:rStyle w:val="22"/>
              <w:rFonts w:eastAsia="黑体" w:cs="Times New Roman"/>
              <w:b w:val="0"/>
              <w:bCs w:val="0"/>
              <w:color w:val="auto"/>
              <w:sz w:val="32"/>
              <w:szCs w:val="32"/>
            </w:rPr>
            <w:t>第三章</w:t>
          </w:r>
          <w:r>
            <w:rPr>
              <w:rStyle w:val="22"/>
              <w:rFonts w:eastAsia="黑体" w:cs="Times New Roman"/>
              <w:b w:val="0"/>
              <w:bCs w:val="0"/>
              <w:color w:val="auto"/>
              <w:sz w:val="32"/>
              <w:szCs w:val="32"/>
            </w:rPr>
            <w:tab/>
          </w:r>
          <w:r>
            <w:rPr>
              <w:rStyle w:val="22"/>
              <w:rFonts w:eastAsia="黑体" w:cs="Times New Roman"/>
              <w:b w:val="0"/>
              <w:bCs w:val="0"/>
              <w:color w:val="auto"/>
              <w:sz w:val="32"/>
              <w:szCs w:val="32"/>
            </w:rPr>
            <w:t>深化改革创新 激活高质量发展新动能</w:t>
          </w:r>
          <w:r>
            <w:rPr>
              <w:rStyle w:val="22"/>
              <w:rFonts w:eastAsia="黑体" w:cs="Times New Roman"/>
              <w:b w:val="0"/>
              <w:bCs w:val="0"/>
              <w:color w:val="auto"/>
              <w:sz w:val="32"/>
              <w:szCs w:val="32"/>
            </w:rPr>
            <w:tab/>
          </w:r>
          <w:r>
            <w:rPr>
              <w:rStyle w:val="22"/>
              <w:rFonts w:eastAsia="黑体" w:cs="Times New Roman"/>
              <w:b w:val="0"/>
              <w:bCs w:val="0"/>
              <w:color w:val="auto"/>
              <w:sz w:val="32"/>
              <w:szCs w:val="32"/>
            </w:rPr>
            <w:fldChar w:fldCharType="begin"/>
          </w:r>
          <w:r>
            <w:rPr>
              <w:rStyle w:val="22"/>
              <w:rFonts w:eastAsia="黑体" w:cs="Times New Roman"/>
              <w:b w:val="0"/>
              <w:bCs w:val="0"/>
              <w:color w:val="auto"/>
              <w:sz w:val="32"/>
              <w:szCs w:val="32"/>
            </w:rPr>
            <w:instrText xml:space="preserve"> PAGEREF _Toc216945811 \h </w:instrText>
          </w:r>
          <w:r>
            <w:rPr>
              <w:rStyle w:val="22"/>
              <w:rFonts w:eastAsia="黑体" w:cs="Times New Roman"/>
              <w:b w:val="0"/>
              <w:bCs w:val="0"/>
              <w:color w:val="auto"/>
              <w:sz w:val="32"/>
              <w:szCs w:val="32"/>
            </w:rPr>
            <w:fldChar w:fldCharType="separate"/>
          </w:r>
          <w:r>
            <w:rPr>
              <w:rStyle w:val="22"/>
              <w:rFonts w:eastAsia="黑体" w:cs="Times New Roman"/>
              <w:b w:val="0"/>
              <w:bCs w:val="0"/>
              <w:color w:val="auto"/>
              <w:sz w:val="32"/>
              <w:szCs w:val="32"/>
            </w:rPr>
            <w:t>24</w:t>
          </w:r>
          <w:r>
            <w:rPr>
              <w:rStyle w:val="22"/>
              <w:rFonts w:eastAsia="黑体" w:cs="Times New Roman"/>
              <w:b w:val="0"/>
              <w:bCs w:val="0"/>
              <w:color w:val="auto"/>
              <w:sz w:val="32"/>
              <w:szCs w:val="32"/>
            </w:rPr>
            <w:fldChar w:fldCharType="end"/>
          </w:r>
          <w:r>
            <w:rPr>
              <w:rStyle w:val="22"/>
              <w:rFonts w:eastAsia="黑体" w:cs="Times New Roman"/>
              <w:b w:val="0"/>
              <w:bCs w:val="0"/>
              <w:color w:val="auto"/>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"_Toc216945812" </w:instrText>
          </w:r>
          <w:r>
            <w:fldChar w:fldCharType="separate"/>
          </w:r>
          <w:r>
            <w:rPr>
              <w:rStyle w:val="22"/>
              <w:rFonts w:eastAsia="楷体" w:cs="Times New Roman"/>
              <w:color w:val="auto"/>
              <w:sz w:val="32"/>
              <w:szCs w:val="32"/>
              <w:lang w:val="en-GB"/>
            </w:rPr>
            <w:t>第一节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培育活力迸发的市场主体</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_Toc216945812 \h </w:instrText>
          </w:r>
          <w:r>
            <w:rPr>
              <w:rFonts w:eastAsia="楷体" w:cs="Times New Roman"/>
              <w:sz w:val="32"/>
              <w:szCs w:val="32"/>
            </w:rPr>
            <w:fldChar w:fldCharType="separate"/>
          </w:r>
          <w:r>
            <w:rPr>
              <w:rFonts w:eastAsia="楷体" w:cs="Times New Roman"/>
              <w:sz w:val="32"/>
              <w:szCs w:val="32"/>
            </w:rPr>
            <w:t>24</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"_Toc216945813" </w:instrText>
          </w:r>
          <w:r>
            <w:fldChar w:fldCharType="separate"/>
          </w:r>
          <w:r>
            <w:rPr>
              <w:rStyle w:val="22"/>
              <w:rFonts w:eastAsia="楷体" w:cs="Times New Roman"/>
              <w:color w:val="auto"/>
              <w:sz w:val="32"/>
              <w:szCs w:val="32"/>
              <w:lang w:val="en-GB"/>
            </w:rPr>
            <w:t>第二节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构建畅通高效的要素市场</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_Toc216945813 \h </w:instrText>
          </w:r>
          <w:r>
            <w:rPr>
              <w:rFonts w:eastAsia="楷体" w:cs="Times New Roman"/>
              <w:sz w:val="32"/>
              <w:szCs w:val="32"/>
            </w:rPr>
            <w:fldChar w:fldCharType="separate"/>
          </w:r>
          <w:r>
            <w:rPr>
              <w:rFonts w:eastAsia="楷体" w:cs="Times New Roman"/>
              <w:sz w:val="32"/>
              <w:szCs w:val="32"/>
            </w:rPr>
            <w:t>25</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"_Toc216945814" </w:instrText>
          </w:r>
          <w:r>
            <w:fldChar w:fldCharType="separate"/>
          </w:r>
          <w:r>
            <w:rPr>
              <w:rStyle w:val="22"/>
              <w:rFonts w:eastAsia="楷体" w:cs="Times New Roman"/>
              <w:color w:val="auto"/>
              <w:sz w:val="32"/>
              <w:szCs w:val="32"/>
              <w:lang w:val="en-GB"/>
            </w:rPr>
            <w:t>第三节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塑造四位一体的创新体系</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_Toc216945814 \h </w:instrText>
          </w:r>
          <w:r>
            <w:rPr>
              <w:rFonts w:eastAsia="楷体" w:cs="Times New Roman"/>
              <w:sz w:val="32"/>
              <w:szCs w:val="32"/>
            </w:rPr>
            <w:fldChar w:fldCharType="separate"/>
          </w:r>
          <w:r>
            <w:rPr>
              <w:rFonts w:eastAsia="楷体" w:cs="Times New Roman"/>
              <w:sz w:val="32"/>
              <w:szCs w:val="32"/>
            </w:rPr>
            <w:t>26</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Style w:val="22"/>
              <w:rFonts w:eastAsia="黑体" w:cs="Times New Roman"/>
              <w:b w:val="0"/>
              <w:bCs w:val="0"/>
              <w:color w:val="auto"/>
              <w:sz w:val="32"/>
              <w:szCs w:val="32"/>
            </w:rPr>
          </w:pPr>
          <w:r>
            <w:fldChar w:fldCharType="begin"/>
          </w:r>
          <w:r>
            <w:instrText xml:space="preserve"> HYPERLINK \l "_Toc216945815" </w:instrText>
          </w:r>
          <w:r>
            <w:fldChar w:fldCharType="separate"/>
          </w:r>
          <w:r>
            <w:rPr>
              <w:rStyle w:val="22"/>
              <w:rFonts w:eastAsia="黑体" w:cs="Times New Roman"/>
              <w:b w:val="0"/>
              <w:bCs w:val="0"/>
              <w:color w:val="auto"/>
              <w:sz w:val="32"/>
              <w:szCs w:val="32"/>
            </w:rPr>
            <w:t>第四章</w:t>
          </w:r>
          <w:r>
            <w:rPr>
              <w:rStyle w:val="22"/>
              <w:rFonts w:eastAsia="黑体" w:cs="Times New Roman"/>
              <w:b w:val="0"/>
              <w:bCs w:val="0"/>
              <w:color w:val="auto"/>
              <w:sz w:val="32"/>
              <w:szCs w:val="32"/>
            </w:rPr>
            <w:tab/>
          </w:r>
          <w:r>
            <w:rPr>
              <w:rStyle w:val="22"/>
              <w:rFonts w:eastAsia="黑体" w:cs="Times New Roman"/>
              <w:b w:val="0"/>
              <w:bCs w:val="0"/>
              <w:color w:val="auto"/>
              <w:sz w:val="32"/>
              <w:szCs w:val="32"/>
            </w:rPr>
            <w:t>壮大实体经济 打造现代化产业体系</w:t>
          </w:r>
          <w:r>
            <w:rPr>
              <w:rStyle w:val="22"/>
              <w:rFonts w:eastAsia="黑体" w:cs="Times New Roman"/>
              <w:b w:val="0"/>
              <w:bCs w:val="0"/>
              <w:color w:val="auto"/>
              <w:sz w:val="32"/>
              <w:szCs w:val="32"/>
            </w:rPr>
            <w:tab/>
          </w:r>
          <w:r>
            <w:rPr>
              <w:rStyle w:val="22"/>
              <w:rFonts w:eastAsia="黑体" w:cs="Times New Roman"/>
              <w:b w:val="0"/>
              <w:bCs w:val="0"/>
              <w:color w:val="auto"/>
              <w:sz w:val="32"/>
              <w:szCs w:val="32"/>
            </w:rPr>
            <w:fldChar w:fldCharType="begin"/>
          </w:r>
          <w:r>
            <w:rPr>
              <w:rStyle w:val="22"/>
              <w:rFonts w:eastAsia="黑体" w:cs="Times New Roman"/>
              <w:b w:val="0"/>
              <w:bCs w:val="0"/>
              <w:color w:val="auto"/>
              <w:sz w:val="32"/>
              <w:szCs w:val="32"/>
            </w:rPr>
            <w:instrText xml:space="preserve"> PAGEREF _Toc216945815 \h </w:instrText>
          </w:r>
          <w:r>
            <w:rPr>
              <w:rStyle w:val="22"/>
              <w:rFonts w:eastAsia="黑体" w:cs="Times New Roman"/>
              <w:b w:val="0"/>
              <w:bCs w:val="0"/>
              <w:color w:val="auto"/>
              <w:sz w:val="32"/>
              <w:szCs w:val="32"/>
            </w:rPr>
            <w:fldChar w:fldCharType="separate"/>
          </w:r>
          <w:r>
            <w:rPr>
              <w:rStyle w:val="22"/>
              <w:rFonts w:eastAsia="黑体" w:cs="Times New Roman"/>
              <w:b w:val="0"/>
              <w:bCs w:val="0"/>
              <w:color w:val="auto"/>
              <w:sz w:val="32"/>
              <w:szCs w:val="32"/>
            </w:rPr>
            <w:t>30</w:t>
          </w:r>
          <w:r>
            <w:rPr>
              <w:rStyle w:val="22"/>
              <w:rFonts w:eastAsia="黑体" w:cs="Times New Roman"/>
              <w:b w:val="0"/>
              <w:bCs w:val="0"/>
              <w:color w:val="auto"/>
              <w:sz w:val="32"/>
              <w:szCs w:val="32"/>
            </w:rPr>
            <w:fldChar w:fldCharType="end"/>
          </w:r>
          <w:r>
            <w:rPr>
              <w:rStyle w:val="22"/>
              <w:rFonts w:eastAsia="黑体" w:cs="Times New Roman"/>
              <w:b w:val="0"/>
              <w:bCs w:val="0"/>
              <w:color w:val="auto"/>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"_Toc216945816" </w:instrText>
          </w:r>
          <w:r>
            <w:fldChar w:fldCharType="separate"/>
          </w:r>
          <w:r>
            <w:rPr>
              <w:rStyle w:val="22"/>
              <w:rFonts w:eastAsia="楷体" w:cs="Times New Roman"/>
              <w:color w:val="auto"/>
              <w:sz w:val="32"/>
              <w:szCs w:val="32"/>
              <w:lang w:val="en-GB"/>
            </w:rPr>
            <w:t>第一节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建设湘黔边特色产业集群</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_Toc216945816 \h </w:instrText>
          </w:r>
          <w:r>
            <w:rPr>
              <w:rFonts w:eastAsia="楷体" w:cs="Times New Roman"/>
              <w:sz w:val="32"/>
              <w:szCs w:val="32"/>
            </w:rPr>
            <w:fldChar w:fldCharType="separate"/>
          </w:r>
          <w:r>
            <w:rPr>
              <w:rFonts w:eastAsia="楷体" w:cs="Times New Roman"/>
              <w:sz w:val="32"/>
              <w:szCs w:val="32"/>
            </w:rPr>
            <w:t>30</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"_Toc216945817" </w:instrText>
          </w:r>
          <w:r>
            <w:fldChar w:fldCharType="separate"/>
          </w:r>
          <w:r>
            <w:rPr>
              <w:rStyle w:val="22"/>
              <w:rFonts w:eastAsia="楷体" w:cs="Times New Roman"/>
              <w:color w:val="auto"/>
              <w:sz w:val="32"/>
              <w:szCs w:val="32"/>
              <w:lang w:val="en-GB"/>
            </w:rPr>
            <w:t>第二节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积极培育新型经济业态</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_Toc216945817 \h </w:instrText>
          </w:r>
          <w:r>
            <w:rPr>
              <w:rFonts w:eastAsia="楷体" w:cs="Times New Roman"/>
              <w:sz w:val="32"/>
              <w:szCs w:val="32"/>
            </w:rPr>
            <w:fldChar w:fldCharType="separate"/>
          </w:r>
          <w:r>
            <w:rPr>
              <w:rFonts w:eastAsia="楷体" w:cs="Times New Roman"/>
              <w:sz w:val="32"/>
              <w:szCs w:val="32"/>
            </w:rPr>
            <w:t>34</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"_Toc216945818" </w:instrText>
          </w:r>
          <w:r>
            <w:fldChar w:fldCharType="separate"/>
          </w:r>
          <w:r>
            <w:rPr>
              <w:rStyle w:val="22"/>
              <w:rFonts w:eastAsia="楷体" w:cs="Times New Roman"/>
              <w:color w:val="auto"/>
              <w:sz w:val="32"/>
              <w:szCs w:val="32"/>
              <w:lang w:val="en-GB"/>
            </w:rPr>
            <w:t>第三节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大力发展现代服务业</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_Toc216945818 \h </w:instrText>
          </w:r>
          <w:r>
            <w:rPr>
              <w:rFonts w:eastAsia="楷体" w:cs="Times New Roman"/>
              <w:sz w:val="32"/>
              <w:szCs w:val="32"/>
            </w:rPr>
            <w:fldChar w:fldCharType="separate"/>
          </w:r>
          <w:r>
            <w:rPr>
              <w:rFonts w:eastAsia="楷体" w:cs="Times New Roman"/>
              <w:sz w:val="32"/>
              <w:szCs w:val="32"/>
            </w:rPr>
            <w:t>37</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"_Toc216945819" </w:instrText>
          </w:r>
          <w:r>
            <w:fldChar w:fldCharType="separate"/>
          </w:r>
          <w:r>
            <w:rPr>
              <w:rStyle w:val="22"/>
              <w:rFonts w:eastAsia="楷体" w:cs="Times New Roman"/>
              <w:color w:val="auto"/>
              <w:sz w:val="32"/>
              <w:szCs w:val="32"/>
              <w:lang w:val="en-GB"/>
            </w:rPr>
            <w:t>第四节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强化园区核心承载能力</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_Toc216945819 \h </w:instrText>
          </w:r>
          <w:r>
            <w:rPr>
              <w:rFonts w:eastAsia="楷体" w:cs="Times New Roman"/>
              <w:sz w:val="32"/>
              <w:szCs w:val="32"/>
            </w:rPr>
            <w:fldChar w:fldCharType="separate"/>
          </w:r>
          <w:r>
            <w:rPr>
              <w:rFonts w:eastAsia="楷体" w:cs="Times New Roman"/>
              <w:sz w:val="32"/>
              <w:szCs w:val="32"/>
            </w:rPr>
            <w:t>39</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Style w:val="22"/>
              <w:rFonts w:eastAsia="黑体" w:cs="Times New Roman"/>
              <w:color w:val="auto"/>
            </w:rPr>
          </w:pPr>
          <w:r>
            <w:fldChar w:fldCharType="begin"/>
          </w:r>
          <w:r>
            <w:instrText xml:space="preserve"> HYPERLINK \l "_Toc216945820" </w:instrText>
          </w:r>
          <w:r>
            <w:fldChar w:fldCharType="separate"/>
          </w:r>
          <w:r>
            <w:rPr>
              <w:rStyle w:val="22"/>
              <w:rFonts w:eastAsia="黑体" w:cs="Times New Roman"/>
              <w:b w:val="0"/>
              <w:bCs w:val="0"/>
              <w:color w:val="auto"/>
              <w:sz w:val="32"/>
              <w:szCs w:val="32"/>
            </w:rPr>
            <w:t>第五章</w:t>
          </w:r>
          <w:r>
            <w:rPr>
              <w:rStyle w:val="22"/>
              <w:rFonts w:eastAsia="黑体" w:cs="Times New Roman"/>
              <w:color w:val="auto"/>
            </w:rPr>
            <w:tab/>
          </w:r>
          <w:r>
            <w:rPr>
              <w:rStyle w:val="22"/>
              <w:rFonts w:eastAsia="黑体" w:cs="Times New Roman"/>
              <w:b w:val="0"/>
              <w:bCs w:val="0"/>
              <w:color w:val="auto"/>
              <w:sz w:val="32"/>
              <w:szCs w:val="32"/>
            </w:rPr>
            <w:t>推进乡村振兴 建设村美业兴人和新家园</w:t>
          </w:r>
          <w:r>
            <w:rPr>
              <w:rStyle w:val="22"/>
              <w:rFonts w:eastAsia="黑体" w:cs="Times New Roman"/>
              <w:b w:val="0"/>
              <w:bCs w:val="0"/>
              <w:color w:val="auto"/>
              <w:sz w:val="32"/>
              <w:szCs w:val="32"/>
            </w:rPr>
            <w:tab/>
          </w:r>
          <w:r>
            <w:rPr>
              <w:rStyle w:val="22"/>
              <w:rFonts w:eastAsia="黑体" w:cs="Times New Roman"/>
              <w:b w:val="0"/>
              <w:bCs w:val="0"/>
              <w:color w:val="auto"/>
              <w:sz w:val="32"/>
              <w:szCs w:val="32"/>
            </w:rPr>
            <w:fldChar w:fldCharType="begin"/>
          </w:r>
          <w:r>
            <w:rPr>
              <w:rStyle w:val="22"/>
              <w:rFonts w:eastAsia="黑体" w:cs="Times New Roman"/>
              <w:b w:val="0"/>
              <w:bCs w:val="0"/>
              <w:color w:val="auto"/>
              <w:sz w:val="32"/>
              <w:szCs w:val="32"/>
            </w:rPr>
            <w:instrText xml:space="preserve"> PAGEREF _Toc216945820 \h </w:instrText>
          </w:r>
          <w:r>
            <w:rPr>
              <w:rStyle w:val="22"/>
              <w:rFonts w:eastAsia="黑体" w:cs="Times New Roman"/>
              <w:b w:val="0"/>
              <w:bCs w:val="0"/>
              <w:color w:val="auto"/>
              <w:sz w:val="32"/>
              <w:szCs w:val="32"/>
            </w:rPr>
            <w:fldChar w:fldCharType="separate"/>
          </w:r>
          <w:r>
            <w:rPr>
              <w:rStyle w:val="22"/>
              <w:rFonts w:eastAsia="黑体" w:cs="Times New Roman"/>
              <w:b w:val="0"/>
              <w:bCs w:val="0"/>
              <w:color w:val="auto"/>
              <w:sz w:val="32"/>
              <w:szCs w:val="32"/>
            </w:rPr>
            <w:t>41</w:t>
          </w:r>
          <w:r>
            <w:rPr>
              <w:rStyle w:val="22"/>
              <w:rFonts w:eastAsia="黑体" w:cs="Times New Roman"/>
              <w:b w:val="0"/>
              <w:bCs w:val="0"/>
              <w:color w:val="auto"/>
              <w:sz w:val="32"/>
              <w:szCs w:val="32"/>
            </w:rPr>
            <w:fldChar w:fldCharType="end"/>
          </w:r>
          <w:r>
            <w:rPr>
              <w:rStyle w:val="22"/>
              <w:rFonts w:eastAsia="黑体" w:cs="Times New Roman"/>
              <w:b w:val="0"/>
              <w:bCs w:val="0"/>
              <w:color w:val="auto"/>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"_Toc216945821" </w:instrText>
          </w:r>
          <w:r>
            <w:fldChar w:fldCharType="separate"/>
          </w:r>
          <w:r>
            <w:rPr>
              <w:rStyle w:val="22"/>
              <w:rFonts w:eastAsia="楷体" w:cs="Times New Roman"/>
              <w:color w:val="auto"/>
              <w:sz w:val="32"/>
              <w:szCs w:val="32"/>
            </w:rPr>
            <w:t>第一节</w:t>
          </w:r>
          <w:r>
            <w:rPr>
              <w:rFonts w:eastAsia="楷体" w:cs="Times New Roman"/>
              <w:smallCaps w:val="0"/>
              <w:sz w:val="32"/>
              <w:szCs w:val="32"/>
              <w14:ligatures w14:val="standardContextual"/>
            </w:rPr>
            <w:tab/>
          </w:r>
          <w:r>
            <w:rPr>
              <w:rStyle w:val="22"/>
              <w:rFonts w:eastAsia="楷体" w:cs="Times New Roman"/>
              <w:color w:val="auto"/>
              <w:sz w:val="32"/>
              <w:szCs w:val="32"/>
            </w:rPr>
            <w:t>做优做强现代化农业</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_Toc216945821 \h </w:instrText>
          </w:r>
          <w:r>
            <w:rPr>
              <w:rFonts w:eastAsia="楷体" w:cs="Times New Roman"/>
              <w:sz w:val="32"/>
              <w:szCs w:val="32"/>
            </w:rPr>
            <w:fldChar w:fldCharType="separate"/>
          </w:r>
          <w:r>
            <w:rPr>
              <w:rFonts w:eastAsia="楷体" w:cs="Times New Roman"/>
              <w:sz w:val="32"/>
              <w:szCs w:val="32"/>
            </w:rPr>
            <w:t>41</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"_Toc216945822" </w:instrText>
          </w:r>
          <w:r>
            <w:fldChar w:fldCharType="separate"/>
          </w:r>
          <w:r>
            <w:rPr>
              <w:rStyle w:val="22"/>
              <w:rFonts w:eastAsia="楷体" w:cs="Times New Roman"/>
              <w:color w:val="auto"/>
              <w:sz w:val="32"/>
              <w:szCs w:val="32"/>
            </w:rPr>
            <w:t>第二节</w:t>
          </w:r>
          <w:r>
            <w:rPr>
              <w:rFonts w:eastAsia="楷体" w:cs="Times New Roman"/>
              <w:smallCaps w:val="0"/>
              <w:sz w:val="32"/>
              <w:szCs w:val="32"/>
              <w14:ligatures w14:val="standardContextual"/>
            </w:rPr>
            <w:tab/>
          </w:r>
          <w:r>
            <w:rPr>
              <w:rStyle w:val="22"/>
              <w:rFonts w:eastAsia="楷体" w:cs="Times New Roman"/>
              <w:color w:val="auto"/>
              <w:sz w:val="32"/>
              <w:szCs w:val="32"/>
            </w:rPr>
            <w:t>激活乡村发展内生动力</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_Toc216945822 \h </w:instrText>
          </w:r>
          <w:r>
            <w:rPr>
              <w:rFonts w:eastAsia="楷体" w:cs="Times New Roman"/>
              <w:sz w:val="32"/>
              <w:szCs w:val="32"/>
            </w:rPr>
            <w:fldChar w:fldCharType="separate"/>
          </w:r>
          <w:r>
            <w:rPr>
              <w:rFonts w:eastAsia="楷体" w:cs="Times New Roman"/>
              <w:sz w:val="32"/>
              <w:szCs w:val="32"/>
            </w:rPr>
            <w:t>43</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"_Toc216945823" </w:instrText>
          </w:r>
          <w:r>
            <w:fldChar w:fldCharType="separate"/>
          </w:r>
          <w:r>
            <w:rPr>
              <w:rStyle w:val="22"/>
              <w:rFonts w:eastAsia="楷体" w:cs="Times New Roman"/>
              <w:color w:val="auto"/>
              <w:sz w:val="32"/>
              <w:szCs w:val="32"/>
            </w:rPr>
            <w:t>第三节</w:t>
          </w:r>
          <w:r>
            <w:rPr>
              <w:rFonts w:eastAsia="楷体" w:cs="Times New Roman"/>
              <w:smallCaps w:val="0"/>
              <w:sz w:val="32"/>
              <w:szCs w:val="32"/>
              <w14:ligatures w14:val="standardContextual"/>
            </w:rPr>
            <w:tab/>
          </w:r>
          <w:r>
            <w:rPr>
              <w:rStyle w:val="22"/>
              <w:rFonts w:eastAsia="楷体" w:cs="Times New Roman"/>
              <w:color w:val="auto"/>
              <w:sz w:val="32"/>
              <w:szCs w:val="32"/>
            </w:rPr>
            <w:t>推进宜居宜业和美乡村建设</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_Toc216945823 \h </w:instrText>
          </w:r>
          <w:r>
            <w:rPr>
              <w:rFonts w:eastAsia="楷体" w:cs="Times New Roman"/>
              <w:sz w:val="32"/>
              <w:szCs w:val="32"/>
            </w:rPr>
            <w:fldChar w:fldCharType="separate"/>
          </w:r>
          <w:r>
            <w:rPr>
              <w:rFonts w:eastAsia="楷体" w:cs="Times New Roman"/>
              <w:sz w:val="32"/>
              <w:szCs w:val="32"/>
            </w:rPr>
            <w:t>44</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"_Toc216945824" </w:instrText>
          </w:r>
          <w:r>
            <w:fldChar w:fldCharType="separate"/>
          </w:r>
          <w:r>
            <w:rPr>
              <w:rStyle w:val="22"/>
              <w:rFonts w:eastAsia="楷体" w:cs="Times New Roman"/>
              <w:color w:val="auto"/>
              <w:sz w:val="32"/>
              <w:szCs w:val="32"/>
            </w:rPr>
            <w:t>第四节</w:t>
          </w:r>
          <w:r>
            <w:rPr>
              <w:rFonts w:eastAsia="楷体" w:cs="Times New Roman"/>
              <w:smallCaps w:val="0"/>
              <w:sz w:val="32"/>
              <w:szCs w:val="32"/>
              <w14:ligatures w14:val="standardContextual"/>
            </w:rPr>
            <w:tab/>
          </w:r>
          <w:r>
            <w:rPr>
              <w:rStyle w:val="22"/>
              <w:rFonts w:eastAsia="楷体" w:cs="Times New Roman"/>
              <w:color w:val="auto"/>
              <w:sz w:val="32"/>
              <w:szCs w:val="32"/>
            </w:rPr>
            <w:t>完善强农富农惠农保障</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_Toc216945824 \h </w:instrText>
          </w:r>
          <w:r>
            <w:rPr>
              <w:rFonts w:eastAsia="楷体" w:cs="Times New Roman"/>
              <w:sz w:val="32"/>
              <w:szCs w:val="32"/>
            </w:rPr>
            <w:fldChar w:fldCharType="separate"/>
          </w:r>
          <w:r>
            <w:rPr>
              <w:rFonts w:eastAsia="楷体" w:cs="Times New Roman"/>
              <w:sz w:val="32"/>
              <w:szCs w:val="32"/>
            </w:rPr>
            <w:t>46</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Style w:val="22"/>
              <w:rFonts w:eastAsia="黑体" w:cs="Times New Roman"/>
              <w:b w:val="0"/>
              <w:bCs w:val="0"/>
              <w:color w:val="auto"/>
              <w:sz w:val="32"/>
              <w:szCs w:val="32"/>
            </w:rPr>
          </w:pPr>
          <w:r>
            <w:fldChar w:fldCharType="begin"/>
          </w:r>
          <w:r>
            <w:instrText xml:space="preserve"> HYPERLINK \l "_Toc216945825" </w:instrText>
          </w:r>
          <w:r>
            <w:fldChar w:fldCharType="separate"/>
          </w:r>
          <w:r>
            <w:rPr>
              <w:rStyle w:val="22"/>
              <w:rFonts w:eastAsia="黑体" w:cs="Times New Roman"/>
              <w:b w:val="0"/>
              <w:bCs w:val="0"/>
              <w:color w:val="auto"/>
              <w:sz w:val="32"/>
              <w:szCs w:val="32"/>
            </w:rPr>
            <w:t>第六章</w:t>
          </w:r>
          <w:r>
            <w:rPr>
              <w:rStyle w:val="22"/>
              <w:rFonts w:eastAsia="黑体" w:cs="Times New Roman"/>
              <w:b w:val="0"/>
              <w:bCs w:val="0"/>
              <w:color w:val="auto"/>
              <w:sz w:val="32"/>
              <w:szCs w:val="32"/>
            </w:rPr>
            <w:tab/>
          </w:r>
          <w:r>
            <w:rPr>
              <w:rStyle w:val="22"/>
              <w:rFonts w:eastAsia="黑体" w:cs="Times New Roman"/>
              <w:b w:val="0"/>
              <w:bCs w:val="0"/>
              <w:color w:val="auto"/>
              <w:sz w:val="32"/>
              <w:szCs w:val="32"/>
            </w:rPr>
            <w:t>坚持以人为本 建设更高品质现代化新城</w:t>
          </w:r>
          <w:r>
            <w:rPr>
              <w:rStyle w:val="22"/>
              <w:rFonts w:eastAsia="黑体" w:cs="Times New Roman"/>
              <w:b w:val="0"/>
              <w:bCs w:val="0"/>
              <w:color w:val="auto"/>
              <w:sz w:val="32"/>
              <w:szCs w:val="32"/>
            </w:rPr>
            <w:tab/>
          </w:r>
          <w:r>
            <w:rPr>
              <w:rStyle w:val="22"/>
              <w:rFonts w:eastAsia="黑体" w:cs="Times New Roman"/>
              <w:b w:val="0"/>
              <w:bCs w:val="0"/>
              <w:color w:val="auto"/>
              <w:sz w:val="32"/>
              <w:szCs w:val="32"/>
            </w:rPr>
            <w:fldChar w:fldCharType="begin"/>
          </w:r>
          <w:r>
            <w:rPr>
              <w:rStyle w:val="22"/>
              <w:rFonts w:eastAsia="黑体" w:cs="Times New Roman"/>
              <w:b w:val="0"/>
              <w:bCs w:val="0"/>
              <w:color w:val="auto"/>
              <w:sz w:val="32"/>
              <w:szCs w:val="32"/>
            </w:rPr>
            <w:instrText xml:space="preserve"> PAGEREF _Toc216945825 \h </w:instrText>
          </w:r>
          <w:r>
            <w:rPr>
              <w:rStyle w:val="22"/>
              <w:rFonts w:eastAsia="黑体" w:cs="Times New Roman"/>
              <w:b w:val="0"/>
              <w:bCs w:val="0"/>
              <w:color w:val="auto"/>
              <w:sz w:val="32"/>
              <w:szCs w:val="32"/>
            </w:rPr>
            <w:fldChar w:fldCharType="separate"/>
          </w:r>
          <w:r>
            <w:rPr>
              <w:rStyle w:val="22"/>
              <w:rFonts w:eastAsia="黑体" w:cs="Times New Roman"/>
              <w:b w:val="0"/>
              <w:bCs w:val="0"/>
              <w:color w:val="auto"/>
              <w:sz w:val="32"/>
              <w:szCs w:val="32"/>
            </w:rPr>
            <w:t>48</w:t>
          </w:r>
          <w:r>
            <w:rPr>
              <w:rStyle w:val="22"/>
              <w:rFonts w:eastAsia="黑体" w:cs="Times New Roman"/>
              <w:b w:val="0"/>
              <w:bCs w:val="0"/>
              <w:color w:val="auto"/>
              <w:sz w:val="32"/>
              <w:szCs w:val="32"/>
            </w:rPr>
            <w:fldChar w:fldCharType="end"/>
          </w:r>
          <w:r>
            <w:rPr>
              <w:rStyle w:val="22"/>
              <w:rFonts w:eastAsia="黑体" w:cs="Times New Roman"/>
              <w:b w:val="0"/>
              <w:bCs w:val="0"/>
              <w:color w:val="auto"/>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"_Toc216945826" </w:instrText>
          </w:r>
          <w:r>
            <w:fldChar w:fldCharType="separate"/>
          </w:r>
          <w:r>
            <w:rPr>
              <w:rStyle w:val="22"/>
              <w:rFonts w:eastAsia="楷体" w:cs="Times New Roman"/>
              <w:color w:val="auto"/>
              <w:sz w:val="32"/>
              <w:szCs w:val="32"/>
            </w:rPr>
            <w:t>第一节</w:t>
          </w:r>
          <w:r>
            <w:rPr>
              <w:rFonts w:eastAsia="楷体" w:cs="Times New Roman"/>
              <w:smallCaps w:val="0"/>
              <w:sz w:val="32"/>
              <w:szCs w:val="32"/>
              <w14:ligatures w14:val="standardContextual"/>
            </w:rPr>
            <w:tab/>
          </w:r>
          <w:r>
            <w:rPr>
              <w:rStyle w:val="22"/>
              <w:rFonts w:eastAsia="楷体" w:cs="Times New Roman"/>
              <w:color w:val="auto"/>
              <w:sz w:val="32"/>
              <w:szCs w:val="32"/>
            </w:rPr>
            <w:t>塑造宜居宜业“品质新城”</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_Toc216945826 \h </w:instrText>
          </w:r>
          <w:r>
            <w:rPr>
              <w:rFonts w:eastAsia="楷体" w:cs="Times New Roman"/>
              <w:sz w:val="32"/>
              <w:szCs w:val="32"/>
            </w:rPr>
            <w:fldChar w:fldCharType="separate"/>
          </w:r>
          <w:r>
            <w:rPr>
              <w:rFonts w:eastAsia="楷体" w:cs="Times New Roman"/>
              <w:sz w:val="32"/>
              <w:szCs w:val="32"/>
            </w:rPr>
            <w:t>48</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"_Toc216945827" </w:instrText>
          </w:r>
          <w:r>
            <w:fldChar w:fldCharType="separate"/>
          </w:r>
          <w:r>
            <w:rPr>
              <w:rStyle w:val="22"/>
              <w:rFonts w:eastAsia="楷体" w:cs="Times New Roman"/>
              <w:color w:val="auto"/>
              <w:sz w:val="32"/>
              <w:szCs w:val="32"/>
            </w:rPr>
            <w:t>第二节</w:t>
          </w:r>
          <w:r>
            <w:rPr>
              <w:rFonts w:eastAsia="楷体" w:cs="Times New Roman"/>
              <w:smallCaps w:val="0"/>
              <w:sz w:val="32"/>
              <w:szCs w:val="32"/>
              <w14:ligatures w14:val="standardContextual"/>
            </w:rPr>
            <w:tab/>
          </w:r>
          <w:r>
            <w:rPr>
              <w:rStyle w:val="22"/>
              <w:rFonts w:eastAsia="楷体" w:cs="Times New Roman"/>
              <w:color w:val="auto"/>
              <w:sz w:val="32"/>
              <w:szCs w:val="32"/>
            </w:rPr>
            <w:t>建设业态丰富“活力新城”</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_Toc216945827 \h </w:instrText>
          </w:r>
          <w:r>
            <w:rPr>
              <w:rFonts w:eastAsia="楷体" w:cs="Times New Roman"/>
              <w:sz w:val="32"/>
              <w:szCs w:val="32"/>
            </w:rPr>
            <w:fldChar w:fldCharType="separate"/>
          </w:r>
          <w:r>
            <w:rPr>
              <w:rFonts w:eastAsia="楷体" w:cs="Times New Roman"/>
              <w:sz w:val="32"/>
              <w:szCs w:val="32"/>
            </w:rPr>
            <w:t>51</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"_Toc216945832" </w:instrText>
          </w:r>
          <w:r>
            <w:fldChar w:fldCharType="separate"/>
          </w:r>
          <w:r>
            <w:rPr>
              <w:rStyle w:val="22"/>
              <w:rFonts w:eastAsia="楷体" w:cs="Times New Roman"/>
              <w:color w:val="auto"/>
              <w:sz w:val="32"/>
              <w:szCs w:val="32"/>
            </w:rPr>
            <w:t>第三节</w:t>
          </w:r>
          <w:r>
            <w:rPr>
              <w:rFonts w:eastAsia="楷体" w:cs="Times New Roman"/>
              <w:smallCaps w:val="0"/>
              <w:sz w:val="32"/>
              <w:szCs w:val="32"/>
              <w14:ligatures w14:val="standardContextual"/>
            </w:rPr>
            <w:tab/>
          </w:r>
          <w:r>
            <w:rPr>
              <w:rStyle w:val="22"/>
              <w:rFonts w:eastAsia="楷体" w:cs="Times New Roman"/>
              <w:color w:val="auto"/>
              <w:sz w:val="32"/>
              <w:szCs w:val="32"/>
            </w:rPr>
            <w:t>培育城乡共生“融合新城”</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_Toc216945832 \h </w:instrText>
          </w:r>
          <w:r>
            <w:rPr>
              <w:rFonts w:eastAsia="楷体" w:cs="Times New Roman"/>
              <w:sz w:val="32"/>
              <w:szCs w:val="32"/>
            </w:rPr>
            <w:fldChar w:fldCharType="separate"/>
          </w:r>
          <w:r>
            <w:rPr>
              <w:rFonts w:eastAsia="楷体" w:cs="Times New Roman"/>
              <w:sz w:val="32"/>
              <w:szCs w:val="32"/>
            </w:rPr>
            <w:t>52</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Style w:val="22"/>
              <w:rFonts w:eastAsia="黑体" w:cs="Times New Roman"/>
              <w:b w:val="0"/>
              <w:bCs w:val="0"/>
              <w:color w:val="auto"/>
              <w:sz w:val="32"/>
              <w:szCs w:val="32"/>
            </w:rPr>
          </w:pPr>
          <w:r>
            <w:fldChar w:fldCharType="begin"/>
          </w:r>
          <w:r>
            <w:instrText xml:space="preserve"> HYPERLINK \l "_Toc216945833" </w:instrText>
          </w:r>
          <w:r>
            <w:fldChar w:fldCharType="separate"/>
          </w:r>
          <w:r>
            <w:rPr>
              <w:rStyle w:val="22"/>
              <w:rFonts w:eastAsia="黑体" w:cs="Times New Roman"/>
              <w:b w:val="0"/>
              <w:bCs w:val="0"/>
              <w:color w:val="auto"/>
              <w:sz w:val="32"/>
              <w:szCs w:val="32"/>
            </w:rPr>
            <w:t>第七章</w:t>
          </w:r>
          <w:r>
            <w:rPr>
              <w:rStyle w:val="22"/>
              <w:rFonts w:eastAsia="黑体" w:cs="Times New Roman"/>
              <w:b w:val="0"/>
              <w:bCs w:val="0"/>
              <w:color w:val="auto"/>
              <w:sz w:val="32"/>
              <w:szCs w:val="32"/>
            </w:rPr>
            <w:tab/>
          </w:r>
          <w:r>
            <w:rPr>
              <w:rStyle w:val="22"/>
              <w:rFonts w:eastAsia="黑体" w:cs="Times New Roman"/>
              <w:b w:val="0"/>
              <w:bCs w:val="0"/>
              <w:color w:val="auto"/>
              <w:sz w:val="32"/>
              <w:szCs w:val="32"/>
            </w:rPr>
            <w:t>激活有效投资 扩大内需畅通经济大循环</w:t>
          </w:r>
          <w:r>
            <w:rPr>
              <w:rStyle w:val="22"/>
              <w:rFonts w:eastAsia="黑体" w:cs="Times New Roman"/>
              <w:b w:val="0"/>
              <w:bCs w:val="0"/>
              <w:color w:val="auto"/>
              <w:sz w:val="32"/>
              <w:szCs w:val="32"/>
            </w:rPr>
            <w:tab/>
          </w:r>
          <w:r>
            <w:rPr>
              <w:rStyle w:val="22"/>
              <w:rFonts w:eastAsia="黑体" w:cs="Times New Roman"/>
              <w:b w:val="0"/>
              <w:bCs w:val="0"/>
              <w:color w:val="auto"/>
              <w:sz w:val="32"/>
              <w:szCs w:val="32"/>
            </w:rPr>
            <w:fldChar w:fldCharType="begin"/>
          </w:r>
          <w:r>
            <w:rPr>
              <w:rStyle w:val="22"/>
              <w:rFonts w:eastAsia="黑体" w:cs="Times New Roman"/>
              <w:b w:val="0"/>
              <w:bCs w:val="0"/>
              <w:color w:val="auto"/>
              <w:sz w:val="32"/>
              <w:szCs w:val="32"/>
            </w:rPr>
            <w:instrText xml:space="preserve"> PAGEREF _Toc216945833 \h </w:instrText>
          </w:r>
          <w:r>
            <w:rPr>
              <w:rStyle w:val="22"/>
              <w:rFonts w:eastAsia="黑体" w:cs="Times New Roman"/>
              <w:b w:val="0"/>
              <w:bCs w:val="0"/>
              <w:color w:val="auto"/>
              <w:sz w:val="32"/>
              <w:szCs w:val="32"/>
            </w:rPr>
            <w:fldChar w:fldCharType="separate"/>
          </w:r>
          <w:r>
            <w:rPr>
              <w:rStyle w:val="22"/>
              <w:rFonts w:eastAsia="黑体" w:cs="Times New Roman"/>
              <w:b w:val="0"/>
              <w:bCs w:val="0"/>
              <w:color w:val="auto"/>
              <w:sz w:val="32"/>
              <w:szCs w:val="32"/>
            </w:rPr>
            <w:t>57</w:t>
          </w:r>
          <w:r>
            <w:rPr>
              <w:rStyle w:val="22"/>
              <w:rFonts w:eastAsia="黑体" w:cs="Times New Roman"/>
              <w:b w:val="0"/>
              <w:bCs w:val="0"/>
              <w:color w:val="auto"/>
              <w:sz w:val="32"/>
              <w:szCs w:val="32"/>
            </w:rPr>
            <w:fldChar w:fldCharType="end"/>
          </w:r>
          <w:r>
            <w:rPr>
              <w:rStyle w:val="22"/>
              <w:rFonts w:eastAsia="黑体" w:cs="Times New Roman"/>
              <w:b w:val="0"/>
              <w:bCs w:val="0"/>
              <w:color w:val="auto"/>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"_Toc216945834" </w:instrText>
          </w:r>
          <w:r>
            <w:fldChar w:fldCharType="separate"/>
          </w:r>
          <w:r>
            <w:rPr>
              <w:rStyle w:val="22"/>
              <w:rFonts w:eastAsia="楷体" w:cs="Times New Roman"/>
              <w:color w:val="auto"/>
              <w:sz w:val="32"/>
              <w:szCs w:val="32"/>
              <w:lang w:val="en-GB"/>
            </w:rPr>
            <w:t>第一节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培育壮大新型消费</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_Toc216945834 \h </w:instrText>
          </w:r>
          <w:r>
            <w:rPr>
              <w:rFonts w:eastAsia="楷体" w:cs="Times New Roman"/>
              <w:sz w:val="32"/>
              <w:szCs w:val="32"/>
            </w:rPr>
            <w:fldChar w:fldCharType="separate"/>
          </w:r>
          <w:r>
            <w:rPr>
              <w:rFonts w:eastAsia="楷体" w:cs="Times New Roman"/>
              <w:sz w:val="32"/>
              <w:szCs w:val="32"/>
            </w:rPr>
            <w:t>57</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"_Toc216945835" </w:instrText>
          </w:r>
          <w:r>
            <w:fldChar w:fldCharType="separate"/>
          </w:r>
          <w:r>
            <w:rPr>
              <w:rStyle w:val="22"/>
              <w:rFonts w:eastAsia="楷体" w:cs="Times New Roman"/>
              <w:color w:val="auto"/>
              <w:sz w:val="32"/>
              <w:szCs w:val="32"/>
              <w:lang w:val="en-GB"/>
            </w:rPr>
            <w:t>第二节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提质升级传统消费</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_Toc216945835 \h </w:instrText>
          </w:r>
          <w:r>
            <w:rPr>
              <w:rFonts w:eastAsia="楷体" w:cs="Times New Roman"/>
              <w:sz w:val="32"/>
              <w:szCs w:val="32"/>
            </w:rPr>
            <w:fldChar w:fldCharType="separate"/>
          </w:r>
          <w:r>
            <w:rPr>
              <w:rFonts w:eastAsia="楷体" w:cs="Times New Roman"/>
              <w:sz w:val="32"/>
              <w:szCs w:val="32"/>
            </w:rPr>
            <w:t>58</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"_Toc216945836" </w:instrText>
          </w:r>
          <w:r>
            <w:fldChar w:fldCharType="separate"/>
          </w:r>
          <w:r>
            <w:rPr>
              <w:rStyle w:val="22"/>
              <w:rFonts w:eastAsia="楷体" w:cs="Times New Roman"/>
              <w:color w:val="auto"/>
              <w:sz w:val="32"/>
              <w:szCs w:val="32"/>
              <w:lang w:val="en-GB"/>
            </w:rPr>
            <w:t>第三节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优化提升消费环境</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_Toc216945836 \h </w:instrText>
          </w:r>
          <w:r>
            <w:rPr>
              <w:rFonts w:eastAsia="楷体" w:cs="Times New Roman"/>
              <w:sz w:val="32"/>
              <w:szCs w:val="32"/>
            </w:rPr>
            <w:fldChar w:fldCharType="separate"/>
          </w:r>
          <w:r>
            <w:rPr>
              <w:rFonts w:eastAsia="楷体" w:cs="Times New Roman"/>
              <w:sz w:val="32"/>
              <w:szCs w:val="32"/>
            </w:rPr>
            <w:t>60</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"_Toc216945837" </w:instrText>
          </w:r>
          <w:r>
            <w:fldChar w:fldCharType="separate"/>
          </w:r>
          <w:r>
            <w:rPr>
              <w:rStyle w:val="22"/>
              <w:rFonts w:eastAsia="楷体" w:cs="Times New Roman"/>
              <w:color w:val="auto"/>
              <w:sz w:val="32"/>
              <w:szCs w:val="32"/>
              <w:lang w:val="en-GB"/>
            </w:rPr>
            <w:t>第四节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持续扩大有效投资</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_Toc216945837 \h </w:instrText>
          </w:r>
          <w:r>
            <w:rPr>
              <w:rFonts w:eastAsia="楷体" w:cs="Times New Roman"/>
              <w:sz w:val="32"/>
              <w:szCs w:val="32"/>
            </w:rPr>
            <w:fldChar w:fldCharType="separate"/>
          </w:r>
          <w:r>
            <w:rPr>
              <w:rFonts w:eastAsia="楷体" w:cs="Times New Roman"/>
              <w:sz w:val="32"/>
              <w:szCs w:val="32"/>
            </w:rPr>
            <w:t>61</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Style w:val="22"/>
              <w:rFonts w:eastAsia="黑体" w:cs="Times New Roman"/>
              <w:b w:val="0"/>
              <w:bCs w:val="0"/>
              <w:color w:val="auto"/>
              <w:sz w:val="32"/>
              <w:szCs w:val="32"/>
            </w:rPr>
          </w:pPr>
          <w:r>
            <w:fldChar w:fldCharType="begin"/>
          </w:r>
          <w:r>
            <w:instrText xml:space="preserve"> HYPERLINK \l "_Toc216945838" </w:instrText>
          </w:r>
          <w:r>
            <w:fldChar w:fldCharType="separate"/>
          </w:r>
          <w:r>
            <w:rPr>
              <w:rStyle w:val="22"/>
              <w:rFonts w:eastAsia="黑体" w:cs="Times New Roman"/>
              <w:b w:val="0"/>
              <w:bCs w:val="0"/>
              <w:color w:val="auto"/>
              <w:sz w:val="32"/>
              <w:szCs w:val="32"/>
            </w:rPr>
            <w:t>第八章</w:t>
          </w:r>
          <w:r>
            <w:rPr>
              <w:rStyle w:val="22"/>
              <w:rFonts w:eastAsia="黑体" w:cs="Times New Roman"/>
              <w:b w:val="0"/>
              <w:bCs w:val="0"/>
              <w:color w:val="auto"/>
              <w:sz w:val="32"/>
              <w:szCs w:val="32"/>
            </w:rPr>
            <w:tab/>
          </w:r>
          <w:r>
            <w:rPr>
              <w:rStyle w:val="22"/>
              <w:rFonts w:eastAsia="黑体" w:cs="Times New Roman"/>
              <w:b w:val="0"/>
              <w:bCs w:val="0"/>
              <w:color w:val="auto"/>
              <w:sz w:val="32"/>
              <w:szCs w:val="32"/>
            </w:rPr>
            <w:t>夯实硬件基座 构筑安全韧性基础设施体系</w:t>
          </w:r>
          <w:r>
            <w:rPr>
              <w:rStyle w:val="22"/>
              <w:rFonts w:eastAsia="黑体" w:cs="Times New Roman"/>
              <w:b w:val="0"/>
              <w:bCs w:val="0"/>
              <w:color w:val="auto"/>
              <w:sz w:val="32"/>
              <w:szCs w:val="32"/>
            </w:rPr>
            <w:tab/>
          </w:r>
          <w:r>
            <w:rPr>
              <w:rStyle w:val="22"/>
              <w:rFonts w:eastAsia="黑体" w:cs="Times New Roman"/>
              <w:b w:val="0"/>
              <w:bCs w:val="0"/>
              <w:color w:val="auto"/>
              <w:sz w:val="32"/>
              <w:szCs w:val="32"/>
            </w:rPr>
            <w:fldChar w:fldCharType="begin"/>
          </w:r>
          <w:r>
            <w:rPr>
              <w:rStyle w:val="22"/>
              <w:rFonts w:eastAsia="黑体" w:cs="Times New Roman"/>
              <w:b w:val="0"/>
              <w:bCs w:val="0"/>
              <w:color w:val="auto"/>
              <w:sz w:val="32"/>
              <w:szCs w:val="32"/>
            </w:rPr>
            <w:instrText xml:space="preserve"> PAGEREF _Toc216945838 \h </w:instrText>
          </w:r>
          <w:r>
            <w:rPr>
              <w:rStyle w:val="22"/>
              <w:rFonts w:eastAsia="黑体" w:cs="Times New Roman"/>
              <w:b w:val="0"/>
              <w:bCs w:val="0"/>
              <w:color w:val="auto"/>
              <w:sz w:val="32"/>
              <w:szCs w:val="32"/>
            </w:rPr>
            <w:fldChar w:fldCharType="separate"/>
          </w:r>
          <w:r>
            <w:rPr>
              <w:rStyle w:val="22"/>
              <w:rFonts w:eastAsia="黑体" w:cs="Times New Roman"/>
              <w:b w:val="0"/>
              <w:bCs w:val="0"/>
              <w:color w:val="auto"/>
              <w:sz w:val="32"/>
              <w:szCs w:val="32"/>
            </w:rPr>
            <w:t>64</w:t>
          </w:r>
          <w:r>
            <w:rPr>
              <w:rStyle w:val="22"/>
              <w:rFonts w:eastAsia="黑体" w:cs="Times New Roman"/>
              <w:b w:val="0"/>
              <w:bCs w:val="0"/>
              <w:color w:val="auto"/>
              <w:sz w:val="32"/>
              <w:szCs w:val="32"/>
            </w:rPr>
            <w:fldChar w:fldCharType="end"/>
          </w:r>
          <w:r>
            <w:rPr>
              <w:rStyle w:val="22"/>
              <w:rFonts w:eastAsia="黑体" w:cs="Times New Roman"/>
              <w:b w:val="0"/>
              <w:bCs w:val="0"/>
              <w:color w:val="auto"/>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"_Toc216945839" </w:instrText>
          </w:r>
          <w:r>
            <w:fldChar w:fldCharType="separate"/>
          </w:r>
          <w:r>
            <w:rPr>
              <w:rStyle w:val="22"/>
              <w:rFonts w:eastAsia="楷体" w:cs="Times New Roman"/>
              <w:color w:val="auto"/>
              <w:sz w:val="32"/>
              <w:szCs w:val="32"/>
              <w:lang w:val="en-GB"/>
            </w:rPr>
            <w:t>第一节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构建内畅外联的综合交通网</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_Toc216945839 \h </w:instrText>
          </w:r>
          <w:r>
            <w:rPr>
              <w:rFonts w:eastAsia="楷体" w:cs="Times New Roman"/>
              <w:sz w:val="32"/>
              <w:szCs w:val="32"/>
            </w:rPr>
            <w:fldChar w:fldCharType="separate"/>
          </w:r>
          <w:r>
            <w:rPr>
              <w:rFonts w:eastAsia="楷体" w:cs="Times New Roman"/>
              <w:sz w:val="32"/>
              <w:szCs w:val="32"/>
            </w:rPr>
            <w:t>64</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"_Toc216945840" </w:instrText>
          </w:r>
          <w:r>
            <w:fldChar w:fldCharType="separate"/>
          </w:r>
          <w:r>
            <w:rPr>
              <w:rStyle w:val="22"/>
              <w:rFonts w:eastAsia="楷体" w:cs="Times New Roman"/>
              <w:color w:val="auto"/>
              <w:sz w:val="32"/>
              <w:szCs w:val="32"/>
              <w:lang w:val="en-GB"/>
            </w:rPr>
            <w:t>第二节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健全生态集约的水利安全网</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_Toc216945840 \h </w:instrText>
          </w:r>
          <w:r>
            <w:rPr>
              <w:rFonts w:eastAsia="楷体" w:cs="Times New Roman"/>
              <w:sz w:val="32"/>
              <w:szCs w:val="32"/>
            </w:rPr>
            <w:fldChar w:fldCharType="separate"/>
          </w:r>
          <w:r>
            <w:rPr>
              <w:rFonts w:eastAsia="楷体" w:cs="Times New Roman"/>
              <w:sz w:val="32"/>
              <w:szCs w:val="32"/>
            </w:rPr>
            <w:t>66</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"_Toc216945841" </w:instrText>
          </w:r>
          <w:r>
            <w:fldChar w:fldCharType="separate"/>
          </w:r>
          <w:r>
            <w:rPr>
              <w:rStyle w:val="22"/>
              <w:rFonts w:eastAsia="楷体" w:cs="Times New Roman"/>
              <w:color w:val="auto"/>
              <w:sz w:val="32"/>
              <w:szCs w:val="32"/>
              <w:lang w:val="en-GB"/>
            </w:rPr>
            <w:t>第三节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完善清洁低碳的能源保障网</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_Toc216945841 \h </w:instrText>
          </w:r>
          <w:r>
            <w:rPr>
              <w:rFonts w:eastAsia="楷体" w:cs="Times New Roman"/>
              <w:sz w:val="32"/>
              <w:szCs w:val="32"/>
            </w:rPr>
            <w:fldChar w:fldCharType="separate"/>
          </w:r>
          <w:r>
            <w:rPr>
              <w:rFonts w:eastAsia="楷体" w:cs="Times New Roman"/>
              <w:sz w:val="32"/>
              <w:szCs w:val="32"/>
            </w:rPr>
            <w:t>69</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"_Toc216945842" </w:instrText>
          </w:r>
          <w:r>
            <w:fldChar w:fldCharType="separate"/>
          </w:r>
          <w:r>
            <w:rPr>
              <w:rStyle w:val="22"/>
              <w:rFonts w:eastAsia="楷体" w:cs="Times New Roman"/>
              <w:color w:val="auto"/>
              <w:sz w:val="32"/>
              <w:szCs w:val="32"/>
              <w:lang w:val="en-GB"/>
            </w:rPr>
            <w:t>第四节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布局智能融合的现代数字网</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_Toc216945842 \h </w:instrText>
          </w:r>
          <w:r>
            <w:rPr>
              <w:rFonts w:eastAsia="楷体" w:cs="Times New Roman"/>
              <w:sz w:val="32"/>
              <w:szCs w:val="32"/>
            </w:rPr>
            <w:fldChar w:fldCharType="separate"/>
          </w:r>
          <w:r>
            <w:rPr>
              <w:rFonts w:eastAsia="楷体" w:cs="Times New Roman"/>
              <w:sz w:val="32"/>
              <w:szCs w:val="32"/>
            </w:rPr>
            <w:t>72</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"_Toc216945843" </w:instrText>
          </w:r>
          <w:r>
            <w:fldChar w:fldCharType="separate"/>
          </w:r>
          <w:r>
            <w:rPr>
              <w:rStyle w:val="22"/>
              <w:rFonts w:eastAsia="楷体" w:cs="Times New Roman"/>
              <w:color w:val="auto"/>
              <w:sz w:val="32"/>
              <w:szCs w:val="32"/>
              <w:lang w:val="en-GB"/>
            </w:rPr>
            <w:t>第五节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升级高效畅通的全域物流网</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_Toc216945843 \h </w:instrText>
          </w:r>
          <w:r>
            <w:rPr>
              <w:rFonts w:eastAsia="楷体" w:cs="Times New Roman"/>
              <w:sz w:val="32"/>
              <w:szCs w:val="32"/>
            </w:rPr>
            <w:fldChar w:fldCharType="separate"/>
          </w:r>
          <w:r>
            <w:rPr>
              <w:rFonts w:eastAsia="楷体" w:cs="Times New Roman"/>
              <w:sz w:val="32"/>
              <w:szCs w:val="32"/>
            </w:rPr>
            <w:t>74</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Style w:val="22"/>
              <w:rFonts w:eastAsia="黑体" w:cs="Times New Roman"/>
              <w:b w:val="0"/>
              <w:bCs w:val="0"/>
              <w:color w:val="auto"/>
              <w:sz w:val="32"/>
              <w:szCs w:val="32"/>
            </w:rPr>
          </w:pPr>
          <w:r>
            <w:fldChar w:fldCharType="begin"/>
          </w:r>
          <w:r>
            <w:instrText xml:space="preserve"> HYPERLINK \l "_Toc216945844" </w:instrText>
          </w:r>
          <w:r>
            <w:fldChar w:fldCharType="separate"/>
          </w:r>
          <w:r>
            <w:rPr>
              <w:rStyle w:val="22"/>
              <w:rFonts w:eastAsia="黑体" w:cs="Times New Roman"/>
              <w:b w:val="0"/>
              <w:bCs w:val="0"/>
              <w:color w:val="auto"/>
              <w:sz w:val="32"/>
              <w:szCs w:val="32"/>
            </w:rPr>
            <w:t>第九章 始终突出民生 打造全年龄友好幸福新晃</w:t>
          </w:r>
          <w:r>
            <w:rPr>
              <w:rStyle w:val="22"/>
              <w:rFonts w:eastAsia="黑体" w:cs="Times New Roman"/>
              <w:b w:val="0"/>
              <w:bCs w:val="0"/>
              <w:color w:val="auto"/>
              <w:sz w:val="32"/>
              <w:szCs w:val="32"/>
            </w:rPr>
            <w:tab/>
          </w:r>
          <w:r>
            <w:rPr>
              <w:rStyle w:val="22"/>
              <w:rFonts w:eastAsia="黑体" w:cs="Times New Roman"/>
              <w:b w:val="0"/>
              <w:bCs w:val="0"/>
              <w:color w:val="auto"/>
              <w:sz w:val="32"/>
              <w:szCs w:val="32"/>
            </w:rPr>
            <w:fldChar w:fldCharType="begin"/>
          </w:r>
          <w:r>
            <w:rPr>
              <w:rStyle w:val="22"/>
              <w:rFonts w:eastAsia="黑体" w:cs="Times New Roman"/>
              <w:b w:val="0"/>
              <w:bCs w:val="0"/>
              <w:color w:val="auto"/>
              <w:sz w:val="32"/>
              <w:szCs w:val="32"/>
            </w:rPr>
            <w:instrText xml:space="preserve"> PAGEREF _Toc216945844 \h </w:instrText>
          </w:r>
          <w:r>
            <w:rPr>
              <w:rStyle w:val="22"/>
              <w:rFonts w:eastAsia="黑体" w:cs="Times New Roman"/>
              <w:b w:val="0"/>
              <w:bCs w:val="0"/>
              <w:color w:val="auto"/>
              <w:sz w:val="32"/>
              <w:szCs w:val="32"/>
            </w:rPr>
            <w:fldChar w:fldCharType="separate"/>
          </w:r>
          <w:r>
            <w:rPr>
              <w:rStyle w:val="22"/>
              <w:rFonts w:eastAsia="黑体" w:cs="Times New Roman"/>
              <w:b w:val="0"/>
              <w:bCs w:val="0"/>
              <w:color w:val="auto"/>
              <w:sz w:val="32"/>
              <w:szCs w:val="32"/>
            </w:rPr>
            <w:t>76</w:t>
          </w:r>
          <w:r>
            <w:rPr>
              <w:rStyle w:val="22"/>
              <w:rFonts w:eastAsia="黑体" w:cs="Times New Roman"/>
              <w:b w:val="0"/>
              <w:bCs w:val="0"/>
              <w:color w:val="auto"/>
              <w:sz w:val="32"/>
              <w:szCs w:val="32"/>
            </w:rPr>
            <w:fldChar w:fldCharType="end"/>
          </w:r>
          <w:r>
            <w:rPr>
              <w:rStyle w:val="22"/>
              <w:rFonts w:eastAsia="黑体" w:cs="Times New Roman"/>
              <w:b w:val="0"/>
              <w:bCs w:val="0"/>
              <w:color w:val="auto"/>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"_Toc216945845" </w:instrText>
          </w:r>
          <w:r>
            <w:fldChar w:fldCharType="separate"/>
          </w:r>
          <w:r>
            <w:rPr>
              <w:rStyle w:val="22"/>
              <w:rFonts w:eastAsia="楷体" w:cs="Times New Roman"/>
              <w:color w:val="auto"/>
              <w:sz w:val="32"/>
              <w:szCs w:val="32"/>
              <w:lang w:val="en-GB"/>
            </w:rPr>
            <w:t>第一节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强化就业优先促进充分就业</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_Toc216945845 \h </w:instrText>
          </w:r>
          <w:r>
            <w:rPr>
              <w:rFonts w:eastAsia="楷体" w:cs="Times New Roman"/>
              <w:sz w:val="32"/>
              <w:szCs w:val="32"/>
            </w:rPr>
            <w:fldChar w:fldCharType="separate"/>
          </w:r>
          <w:r>
            <w:rPr>
              <w:rFonts w:eastAsia="楷体" w:cs="Times New Roman"/>
              <w:sz w:val="32"/>
              <w:szCs w:val="32"/>
            </w:rPr>
            <w:t>76</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"_Toc216945846" </w:instrText>
          </w:r>
          <w:r>
            <w:fldChar w:fldCharType="separate"/>
          </w:r>
          <w:r>
            <w:rPr>
              <w:rStyle w:val="22"/>
              <w:rFonts w:eastAsia="楷体" w:cs="Times New Roman"/>
              <w:color w:val="auto"/>
              <w:sz w:val="32"/>
              <w:szCs w:val="32"/>
              <w:lang w:val="en-GB"/>
            </w:rPr>
            <w:t>第二节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健全覆盖全民的社会保障体系</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_Toc216945846 \h </w:instrText>
          </w:r>
          <w:r>
            <w:rPr>
              <w:rFonts w:eastAsia="楷体" w:cs="Times New Roman"/>
              <w:sz w:val="32"/>
              <w:szCs w:val="32"/>
            </w:rPr>
            <w:fldChar w:fldCharType="separate"/>
          </w:r>
          <w:r>
            <w:rPr>
              <w:rFonts w:eastAsia="楷体" w:cs="Times New Roman"/>
              <w:sz w:val="32"/>
              <w:szCs w:val="32"/>
            </w:rPr>
            <w:t>77</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"_Toc216945847" </w:instrText>
          </w:r>
          <w:r>
            <w:fldChar w:fldCharType="separate"/>
          </w:r>
          <w:r>
            <w:rPr>
              <w:rStyle w:val="22"/>
              <w:rFonts w:eastAsia="楷体" w:cs="Times New Roman"/>
              <w:color w:val="auto"/>
              <w:sz w:val="32"/>
              <w:szCs w:val="32"/>
              <w:lang w:val="en-GB"/>
            </w:rPr>
            <w:t>第三节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办好人民满意的高质量教育</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_Toc216945847 \h </w:instrText>
          </w:r>
          <w:r>
            <w:rPr>
              <w:rFonts w:eastAsia="楷体" w:cs="Times New Roman"/>
              <w:sz w:val="32"/>
              <w:szCs w:val="32"/>
            </w:rPr>
            <w:fldChar w:fldCharType="separate"/>
          </w:r>
          <w:r>
            <w:rPr>
              <w:rFonts w:eastAsia="楷体" w:cs="Times New Roman"/>
              <w:sz w:val="32"/>
              <w:szCs w:val="32"/>
            </w:rPr>
            <w:t>79</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"_Toc216945848" </w:instrText>
          </w:r>
          <w:r>
            <w:fldChar w:fldCharType="separate"/>
          </w:r>
          <w:r>
            <w:rPr>
              <w:rStyle w:val="22"/>
              <w:rFonts w:eastAsia="楷体" w:cs="Times New Roman"/>
              <w:color w:val="auto"/>
              <w:sz w:val="32"/>
              <w:szCs w:val="32"/>
              <w:lang w:val="en-GB"/>
            </w:rPr>
            <w:t>第四节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建设高水平健康新晃</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_Toc216945848 \h </w:instrText>
          </w:r>
          <w:r>
            <w:rPr>
              <w:rFonts w:eastAsia="楷体" w:cs="Times New Roman"/>
              <w:sz w:val="32"/>
              <w:szCs w:val="32"/>
            </w:rPr>
            <w:fldChar w:fldCharType="separate"/>
          </w:r>
          <w:r>
            <w:rPr>
              <w:rFonts w:eastAsia="楷体" w:cs="Times New Roman"/>
              <w:sz w:val="32"/>
              <w:szCs w:val="32"/>
            </w:rPr>
            <w:t>80</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"_Toc216945849" </w:instrText>
          </w:r>
          <w:r>
            <w:fldChar w:fldCharType="separate"/>
          </w:r>
          <w:r>
            <w:rPr>
              <w:rStyle w:val="22"/>
              <w:rFonts w:eastAsia="楷体" w:cs="Times New Roman"/>
              <w:color w:val="auto"/>
              <w:sz w:val="32"/>
              <w:szCs w:val="32"/>
              <w:lang w:val="en-GB"/>
            </w:rPr>
            <w:t>第五节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促进人口高质量发展</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_Toc216945849 \h </w:instrText>
          </w:r>
          <w:r>
            <w:rPr>
              <w:rFonts w:eastAsia="楷体" w:cs="Times New Roman"/>
              <w:sz w:val="32"/>
              <w:szCs w:val="32"/>
            </w:rPr>
            <w:fldChar w:fldCharType="separate"/>
          </w:r>
          <w:r>
            <w:rPr>
              <w:rFonts w:eastAsia="楷体" w:cs="Times New Roman"/>
              <w:sz w:val="32"/>
              <w:szCs w:val="32"/>
            </w:rPr>
            <w:t>82</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Style w:val="22"/>
              <w:rFonts w:eastAsia="黑体" w:cs="Times New Roman"/>
              <w:b w:val="0"/>
              <w:bCs w:val="0"/>
              <w:color w:val="auto"/>
              <w:sz w:val="32"/>
              <w:szCs w:val="32"/>
            </w:rPr>
          </w:pPr>
          <w:r>
            <w:fldChar w:fldCharType="begin"/>
          </w:r>
          <w:r>
            <w:instrText xml:space="preserve"> HYPERLINK \l "_Toc216945850" </w:instrText>
          </w:r>
          <w:r>
            <w:fldChar w:fldCharType="separate"/>
          </w:r>
          <w:r>
            <w:rPr>
              <w:rStyle w:val="22"/>
              <w:rFonts w:eastAsia="黑体" w:cs="Times New Roman"/>
              <w:b w:val="0"/>
              <w:bCs w:val="0"/>
              <w:color w:val="auto"/>
              <w:sz w:val="32"/>
              <w:szCs w:val="32"/>
            </w:rPr>
            <w:t>第十章 着力文化铸魂 彰显民族特色现代文明</w:t>
          </w:r>
          <w:r>
            <w:rPr>
              <w:rStyle w:val="22"/>
              <w:rFonts w:eastAsia="黑体" w:cs="Times New Roman"/>
              <w:b w:val="0"/>
              <w:bCs w:val="0"/>
              <w:color w:val="auto"/>
              <w:sz w:val="32"/>
              <w:szCs w:val="32"/>
            </w:rPr>
            <w:tab/>
          </w:r>
          <w:r>
            <w:rPr>
              <w:rStyle w:val="22"/>
              <w:rFonts w:eastAsia="黑体" w:cs="Times New Roman"/>
              <w:b w:val="0"/>
              <w:bCs w:val="0"/>
              <w:color w:val="auto"/>
              <w:sz w:val="32"/>
              <w:szCs w:val="32"/>
            </w:rPr>
            <w:fldChar w:fldCharType="begin"/>
          </w:r>
          <w:r>
            <w:rPr>
              <w:rStyle w:val="22"/>
              <w:rFonts w:eastAsia="黑体" w:cs="Times New Roman"/>
              <w:b w:val="0"/>
              <w:bCs w:val="0"/>
              <w:color w:val="auto"/>
              <w:sz w:val="32"/>
              <w:szCs w:val="32"/>
            </w:rPr>
            <w:instrText xml:space="preserve"> PAGEREF _Toc216945850 \h </w:instrText>
          </w:r>
          <w:r>
            <w:rPr>
              <w:rStyle w:val="22"/>
              <w:rFonts w:eastAsia="黑体" w:cs="Times New Roman"/>
              <w:b w:val="0"/>
              <w:bCs w:val="0"/>
              <w:color w:val="auto"/>
              <w:sz w:val="32"/>
              <w:szCs w:val="32"/>
            </w:rPr>
            <w:fldChar w:fldCharType="separate"/>
          </w:r>
          <w:r>
            <w:rPr>
              <w:rStyle w:val="22"/>
              <w:rFonts w:eastAsia="黑体" w:cs="Times New Roman"/>
              <w:b w:val="0"/>
              <w:bCs w:val="0"/>
              <w:color w:val="auto"/>
              <w:sz w:val="32"/>
              <w:szCs w:val="32"/>
            </w:rPr>
            <w:t>86</w:t>
          </w:r>
          <w:r>
            <w:rPr>
              <w:rStyle w:val="22"/>
              <w:rFonts w:eastAsia="黑体" w:cs="Times New Roman"/>
              <w:b w:val="0"/>
              <w:bCs w:val="0"/>
              <w:color w:val="auto"/>
              <w:sz w:val="32"/>
              <w:szCs w:val="32"/>
            </w:rPr>
            <w:fldChar w:fldCharType="end"/>
          </w:r>
          <w:r>
            <w:rPr>
              <w:rStyle w:val="22"/>
              <w:rFonts w:eastAsia="黑体" w:cs="Times New Roman"/>
              <w:b w:val="0"/>
              <w:bCs w:val="0"/>
              <w:color w:val="auto"/>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"_Toc216945851" </w:instrText>
          </w:r>
          <w:r>
            <w:fldChar w:fldCharType="separate"/>
          </w:r>
          <w:r>
            <w:rPr>
              <w:rStyle w:val="22"/>
              <w:rFonts w:eastAsia="楷体" w:cs="Times New Roman"/>
              <w:color w:val="auto"/>
              <w:sz w:val="32"/>
              <w:szCs w:val="32"/>
              <w:lang w:val="en-GB"/>
            </w:rPr>
            <w:t>第一节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以社会主义核心价值观涵育精神文明</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_Toc216945851 \h </w:instrText>
          </w:r>
          <w:r>
            <w:rPr>
              <w:rFonts w:eastAsia="楷体" w:cs="Times New Roman"/>
              <w:sz w:val="32"/>
              <w:szCs w:val="32"/>
            </w:rPr>
            <w:fldChar w:fldCharType="separate"/>
          </w:r>
          <w:r>
            <w:rPr>
              <w:rFonts w:eastAsia="楷体" w:cs="Times New Roman"/>
              <w:sz w:val="32"/>
              <w:szCs w:val="32"/>
            </w:rPr>
            <w:t>86</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"_Toc216945852" </w:instrText>
          </w:r>
          <w:r>
            <w:fldChar w:fldCharType="separate"/>
          </w:r>
          <w:r>
            <w:rPr>
              <w:rStyle w:val="22"/>
              <w:rFonts w:eastAsia="楷体" w:cs="Times New Roman"/>
              <w:color w:val="auto"/>
              <w:sz w:val="32"/>
              <w:szCs w:val="32"/>
              <w:lang w:val="en-GB"/>
            </w:rPr>
            <w:t>第二节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以传统文化保护利用激活文化基因</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_Toc216945852 \h </w:instrText>
          </w:r>
          <w:r>
            <w:rPr>
              <w:rFonts w:eastAsia="楷体" w:cs="Times New Roman"/>
              <w:sz w:val="32"/>
              <w:szCs w:val="32"/>
            </w:rPr>
            <w:fldChar w:fldCharType="separate"/>
          </w:r>
          <w:r>
            <w:rPr>
              <w:rFonts w:eastAsia="楷体" w:cs="Times New Roman"/>
              <w:sz w:val="32"/>
              <w:szCs w:val="32"/>
            </w:rPr>
            <w:t>87</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"_Toc216945853" </w:instrText>
          </w:r>
          <w:r>
            <w:fldChar w:fldCharType="separate"/>
          </w:r>
          <w:r>
            <w:rPr>
              <w:rStyle w:val="22"/>
              <w:rFonts w:eastAsia="楷体" w:cs="Times New Roman"/>
              <w:color w:val="auto"/>
              <w:sz w:val="32"/>
              <w:szCs w:val="32"/>
              <w:lang w:val="en-GB"/>
            </w:rPr>
            <w:t>第三节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以文化事业繁荣发展擦亮民族名片</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_Toc216945853 \h </w:instrText>
          </w:r>
          <w:r>
            <w:rPr>
              <w:rFonts w:eastAsia="楷体" w:cs="Times New Roman"/>
              <w:sz w:val="32"/>
              <w:szCs w:val="32"/>
            </w:rPr>
            <w:fldChar w:fldCharType="separate"/>
          </w:r>
          <w:r>
            <w:rPr>
              <w:rFonts w:eastAsia="楷体" w:cs="Times New Roman"/>
              <w:sz w:val="32"/>
              <w:szCs w:val="32"/>
            </w:rPr>
            <w:t>90</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Style w:val="22"/>
              <w:rFonts w:eastAsia="黑体" w:cs="Times New Roman"/>
              <w:b w:val="0"/>
              <w:bCs w:val="0"/>
              <w:color w:val="auto"/>
              <w:sz w:val="32"/>
              <w:szCs w:val="32"/>
            </w:rPr>
          </w:pPr>
          <w:r>
            <w:fldChar w:fldCharType="begin"/>
          </w:r>
          <w:r>
            <w:instrText xml:space="preserve"> HYPERLINK \l "_Toc216945854" </w:instrText>
          </w:r>
          <w:r>
            <w:fldChar w:fldCharType="separate"/>
          </w:r>
          <w:r>
            <w:rPr>
              <w:rStyle w:val="22"/>
              <w:rFonts w:eastAsia="黑体" w:cs="Times New Roman"/>
              <w:b w:val="0"/>
              <w:bCs w:val="0"/>
              <w:color w:val="auto"/>
              <w:sz w:val="32"/>
              <w:szCs w:val="32"/>
            </w:rPr>
            <w:t>第十一章 注重生态优先 打造武陵山区生态价值典范</w:t>
          </w:r>
          <w:r>
            <w:rPr>
              <w:rStyle w:val="22"/>
              <w:rFonts w:eastAsia="黑体" w:cs="Times New Roman"/>
              <w:b w:val="0"/>
              <w:bCs w:val="0"/>
              <w:color w:val="auto"/>
              <w:sz w:val="32"/>
              <w:szCs w:val="32"/>
            </w:rPr>
            <w:tab/>
          </w:r>
          <w:r>
            <w:rPr>
              <w:rStyle w:val="22"/>
              <w:rFonts w:eastAsia="黑体" w:cs="Times New Roman"/>
              <w:b w:val="0"/>
              <w:bCs w:val="0"/>
              <w:color w:val="auto"/>
              <w:sz w:val="32"/>
              <w:szCs w:val="32"/>
            </w:rPr>
            <w:fldChar w:fldCharType="begin"/>
          </w:r>
          <w:r>
            <w:rPr>
              <w:rStyle w:val="22"/>
              <w:rFonts w:eastAsia="黑体" w:cs="Times New Roman"/>
              <w:b w:val="0"/>
              <w:bCs w:val="0"/>
              <w:color w:val="auto"/>
              <w:sz w:val="32"/>
              <w:szCs w:val="32"/>
            </w:rPr>
            <w:instrText xml:space="preserve"> PAGEREF _Toc216945854 \h </w:instrText>
          </w:r>
          <w:r>
            <w:rPr>
              <w:rStyle w:val="22"/>
              <w:rFonts w:eastAsia="黑体" w:cs="Times New Roman"/>
              <w:b w:val="0"/>
              <w:bCs w:val="0"/>
              <w:color w:val="auto"/>
              <w:sz w:val="32"/>
              <w:szCs w:val="32"/>
            </w:rPr>
            <w:fldChar w:fldCharType="separate"/>
          </w:r>
          <w:r>
            <w:rPr>
              <w:rStyle w:val="22"/>
              <w:rFonts w:eastAsia="黑体" w:cs="Times New Roman"/>
              <w:b w:val="0"/>
              <w:bCs w:val="0"/>
              <w:color w:val="auto"/>
              <w:sz w:val="32"/>
              <w:szCs w:val="32"/>
            </w:rPr>
            <w:t>93</w:t>
          </w:r>
          <w:r>
            <w:rPr>
              <w:rStyle w:val="22"/>
              <w:rFonts w:eastAsia="黑体" w:cs="Times New Roman"/>
              <w:b w:val="0"/>
              <w:bCs w:val="0"/>
              <w:color w:val="auto"/>
              <w:sz w:val="32"/>
              <w:szCs w:val="32"/>
            </w:rPr>
            <w:fldChar w:fldCharType="end"/>
          </w:r>
          <w:r>
            <w:rPr>
              <w:rStyle w:val="22"/>
              <w:rFonts w:eastAsia="黑体" w:cs="Times New Roman"/>
              <w:b w:val="0"/>
              <w:bCs w:val="0"/>
              <w:color w:val="auto"/>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"_Toc216945855" </w:instrText>
          </w:r>
          <w:r>
            <w:fldChar w:fldCharType="separate"/>
          </w:r>
          <w:r>
            <w:rPr>
              <w:rStyle w:val="22"/>
              <w:rFonts w:eastAsia="楷体" w:cs="Times New Roman"/>
              <w:color w:val="auto"/>
              <w:sz w:val="32"/>
              <w:szCs w:val="32"/>
            </w:rPr>
            <w:t>第一节</w:t>
          </w:r>
          <w:r>
            <w:rPr>
              <w:rFonts w:eastAsia="楷体" w:cs="Times New Roman"/>
              <w:smallCaps w:val="0"/>
              <w:sz w:val="32"/>
              <w:szCs w:val="32"/>
              <w14:ligatures w14:val="standardContextual"/>
            </w:rPr>
            <w:tab/>
          </w:r>
          <w:r>
            <w:rPr>
              <w:rStyle w:val="22"/>
              <w:rFonts w:eastAsia="楷体" w:cs="Times New Roman"/>
              <w:color w:val="auto"/>
              <w:sz w:val="32"/>
              <w:szCs w:val="32"/>
            </w:rPr>
            <w:t>筑牢区域生态安全屏障</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_Toc216945855 \h </w:instrText>
          </w:r>
          <w:r>
            <w:rPr>
              <w:rFonts w:eastAsia="楷体" w:cs="Times New Roman"/>
              <w:sz w:val="32"/>
              <w:szCs w:val="32"/>
            </w:rPr>
            <w:fldChar w:fldCharType="separate"/>
          </w:r>
          <w:r>
            <w:rPr>
              <w:rFonts w:eastAsia="楷体" w:cs="Times New Roman"/>
              <w:sz w:val="32"/>
              <w:szCs w:val="32"/>
            </w:rPr>
            <w:t>93</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"_Toc216945856" </w:instrText>
          </w:r>
          <w:r>
            <w:fldChar w:fldCharType="separate"/>
          </w:r>
          <w:r>
            <w:rPr>
              <w:rStyle w:val="22"/>
              <w:rFonts w:eastAsia="楷体" w:cs="Times New Roman"/>
              <w:color w:val="auto"/>
              <w:sz w:val="32"/>
              <w:szCs w:val="32"/>
            </w:rPr>
            <w:t>第二节</w:t>
          </w:r>
          <w:r>
            <w:rPr>
              <w:rFonts w:eastAsia="楷体" w:cs="Times New Roman"/>
              <w:smallCaps w:val="0"/>
              <w:sz w:val="32"/>
              <w:szCs w:val="32"/>
              <w14:ligatures w14:val="standardContextual"/>
            </w:rPr>
            <w:tab/>
          </w:r>
          <w:r>
            <w:rPr>
              <w:rStyle w:val="22"/>
              <w:rFonts w:eastAsia="楷体" w:cs="Times New Roman"/>
              <w:color w:val="auto"/>
              <w:sz w:val="32"/>
              <w:szCs w:val="32"/>
            </w:rPr>
            <w:t>打好污染防治攻坚战役</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_Toc216945856 \h </w:instrText>
          </w:r>
          <w:r>
            <w:rPr>
              <w:rFonts w:eastAsia="楷体" w:cs="Times New Roman"/>
              <w:sz w:val="32"/>
              <w:szCs w:val="32"/>
            </w:rPr>
            <w:fldChar w:fldCharType="separate"/>
          </w:r>
          <w:r>
            <w:rPr>
              <w:rFonts w:eastAsia="楷体" w:cs="Times New Roman"/>
              <w:sz w:val="32"/>
              <w:szCs w:val="32"/>
            </w:rPr>
            <w:t>94</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"_Toc216945857" </w:instrText>
          </w:r>
          <w:r>
            <w:fldChar w:fldCharType="separate"/>
          </w:r>
          <w:r>
            <w:rPr>
              <w:rStyle w:val="22"/>
              <w:rFonts w:eastAsia="楷体" w:cs="Times New Roman"/>
              <w:color w:val="auto"/>
              <w:sz w:val="32"/>
              <w:szCs w:val="32"/>
            </w:rPr>
            <w:t>第三节</w:t>
          </w:r>
          <w:r>
            <w:rPr>
              <w:rFonts w:eastAsia="楷体" w:cs="Times New Roman"/>
              <w:smallCaps w:val="0"/>
              <w:sz w:val="32"/>
              <w:szCs w:val="32"/>
              <w14:ligatures w14:val="standardContextual"/>
            </w:rPr>
            <w:tab/>
          </w:r>
          <w:r>
            <w:rPr>
              <w:rStyle w:val="22"/>
              <w:rFonts w:eastAsia="楷体" w:cs="Times New Roman"/>
              <w:color w:val="auto"/>
              <w:sz w:val="32"/>
              <w:szCs w:val="32"/>
            </w:rPr>
            <w:t>加快发展方式绿色转型</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_Toc216945857 \h </w:instrText>
          </w:r>
          <w:r>
            <w:rPr>
              <w:rFonts w:eastAsia="楷体" w:cs="Times New Roman"/>
              <w:sz w:val="32"/>
              <w:szCs w:val="32"/>
            </w:rPr>
            <w:fldChar w:fldCharType="separate"/>
          </w:r>
          <w:r>
            <w:rPr>
              <w:rFonts w:eastAsia="楷体" w:cs="Times New Roman"/>
              <w:sz w:val="32"/>
              <w:szCs w:val="32"/>
            </w:rPr>
            <w:t>96</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Style w:val="22"/>
              <w:rFonts w:eastAsia="黑体" w:cs="Times New Roman"/>
              <w:b w:val="0"/>
              <w:bCs w:val="0"/>
              <w:color w:val="auto"/>
              <w:sz w:val="32"/>
              <w:szCs w:val="32"/>
            </w:rPr>
          </w:pPr>
          <w:r>
            <w:fldChar w:fldCharType="begin"/>
          </w:r>
          <w:r>
            <w:instrText xml:space="preserve"> HYPERLINK \l "_Toc216945858" </w:instrText>
          </w:r>
          <w:r>
            <w:fldChar w:fldCharType="separate"/>
          </w:r>
          <w:r>
            <w:rPr>
              <w:rStyle w:val="22"/>
              <w:rFonts w:eastAsia="黑体" w:cs="Times New Roman"/>
              <w:b w:val="0"/>
              <w:bCs w:val="0"/>
              <w:color w:val="auto"/>
              <w:sz w:val="32"/>
              <w:szCs w:val="32"/>
            </w:rPr>
            <w:t>第十二章 强化安全筑底 构建更高水平平安法治格局</w:t>
          </w:r>
          <w:r>
            <w:rPr>
              <w:rStyle w:val="22"/>
              <w:rFonts w:eastAsia="黑体" w:cs="Times New Roman"/>
              <w:b w:val="0"/>
              <w:bCs w:val="0"/>
              <w:color w:val="auto"/>
              <w:sz w:val="32"/>
              <w:szCs w:val="32"/>
            </w:rPr>
            <w:tab/>
          </w:r>
          <w:r>
            <w:rPr>
              <w:rStyle w:val="22"/>
              <w:rFonts w:eastAsia="黑体" w:cs="Times New Roman"/>
              <w:b w:val="0"/>
              <w:bCs w:val="0"/>
              <w:color w:val="auto"/>
              <w:sz w:val="32"/>
              <w:szCs w:val="32"/>
            </w:rPr>
            <w:fldChar w:fldCharType="begin"/>
          </w:r>
          <w:r>
            <w:rPr>
              <w:rStyle w:val="22"/>
              <w:rFonts w:eastAsia="黑体" w:cs="Times New Roman"/>
              <w:b w:val="0"/>
              <w:bCs w:val="0"/>
              <w:color w:val="auto"/>
              <w:sz w:val="32"/>
              <w:szCs w:val="32"/>
            </w:rPr>
            <w:instrText xml:space="preserve"> PAGEREF _Toc216945858 \h </w:instrText>
          </w:r>
          <w:r>
            <w:rPr>
              <w:rStyle w:val="22"/>
              <w:rFonts w:eastAsia="黑体" w:cs="Times New Roman"/>
              <w:b w:val="0"/>
              <w:bCs w:val="0"/>
              <w:color w:val="auto"/>
              <w:sz w:val="32"/>
              <w:szCs w:val="32"/>
            </w:rPr>
            <w:fldChar w:fldCharType="separate"/>
          </w:r>
          <w:r>
            <w:rPr>
              <w:rStyle w:val="22"/>
              <w:rFonts w:eastAsia="黑体" w:cs="Times New Roman"/>
              <w:b w:val="0"/>
              <w:bCs w:val="0"/>
              <w:color w:val="auto"/>
              <w:sz w:val="32"/>
              <w:szCs w:val="32"/>
            </w:rPr>
            <w:t>98</w:t>
          </w:r>
          <w:r>
            <w:rPr>
              <w:rStyle w:val="22"/>
              <w:rFonts w:eastAsia="黑体" w:cs="Times New Roman"/>
              <w:b w:val="0"/>
              <w:bCs w:val="0"/>
              <w:color w:val="auto"/>
              <w:sz w:val="32"/>
              <w:szCs w:val="32"/>
            </w:rPr>
            <w:fldChar w:fldCharType="end"/>
          </w:r>
          <w:r>
            <w:rPr>
              <w:rStyle w:val="22"/>
              <w:rFonts w:eastAsia="黑体" w:cs="Times New Roman"/>
              <w:b w:val="0"/>
              <w:bCs w:val="0"/>
              <w:color w:val="auto"/>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"_Toc216945859" </w:instrText>
          </w:r>
          <w:r>
            <w:fldChar w:fldCharType="separate"/>
          </w:r>
          <w:r>
            <w:rPr>
              <w:rStyle w:val="22"/>
              <w:rFonts w:eastAsia="楷体" w:cs="Times New Roman"/>
              <w:color w:val="auto"/>
              <w:sz w:val="32"/>
              <w:szCs w:val="32"/>
              <w:lang w:val="en-GB"/>
            </w:rPr>
            <w:t>第一节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增强安全保障能力</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_Toc216945859 \h </w:instrText>
          </w:r>
          <w:r>
            <w:rPr>
              <w:rFonts w:eastAsia="楷体" w:cs="Times New Roman"/>
              <w:sz w:val="32"/>
              <w:szCs w:val="32"/>
            </w:rPr>
            <w:fldChar w:fldCharType="separate"/>
          </w:r>
          <w:r>
            <w:rPr>
              <w:rFonts w:eastAsia="楷体" w:cs="Times New Roman"/>
              <w:sz w:val="32"/>
              <w:szCs w:val="32"/>
            </w:rPr>
            <w:t>98</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"_Toc216945860" </w:instrText>
          </w:r>
          <w:r>
            <w:fldChar w:fldCharType="separate"/>
          </w:r>
          <w:r>
            <w:rPr>
              <w:rStyle w:val="22"/>
              <w:rFonts w:eastAsia="楷体" w:cs="Times New Roman"/>
              <w:color w:val="auto"/>
              <w:sz w:val="32"/>
              <w:szCs w:val="32"/>
              <w:lang w:val="en-GB"/>
            </w:rPr>
            <w:t>第二节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加快法治新晃建设</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_Toc216945860 \h </w:instrText>
          </w:r>
          <w:r>
            <w:rPr>
              <w:rFonts w:eastAsia="楷体" w:cs="Times New Roman"/>
              <w:sz w:val="32"/>
              <w:szCs w:val="32"/>
            </w:rPr>
            <w:fldChar w:fldCharType="separate"/>
          </w:r>
          <w:r>
            <w:rPr>
              <w:rFonts w:eastAsia="楷体" w:cs="Times New Roman"/>
              <w:sz w:val="32"/>
              <w:szCs w:val="32"/>
            </w:rPr>
            <w:t>100</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"_Toc216945861" </w:instrText>
          </w:r>
          <w:r>
            <w:fldChar w:fldCharType="separate"/>
          </w:r>
          <w:r>
            <w:rPr>
              <w:rStyle w:val="22"/>
              <w:rFonts w:eastAsia="楷体" w:cs="Times New Roman"/>
              <w:color w:val="auto"/>
              <w:sz w:val="32"/>
              <w:szCs w:val="32"/>
              <w:lang w:val="en-GB"/>
            </w:rPr>
            <w:t>第三节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提升社会治理效能</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_Toc216945861 \h </w:instrText>
          </w:r>
          <w:r>
            <w:rPr>
              <w:rFonts w:eastAsia="楷体" w:cs="Times New Roman"/>
              <w:sz w:val="32"/>
              <w:szCs w:val="32"/>
            </w:rPr>
            <w:fldChar w:fldCharType="separate"/>
          </w:r>
          <w:r>
            <w:rPr>
              <w:rFonts w:eastAsia="楷体" w:cs="Times New Roman"/>
              <w:sz w:val="32"/>
              <w:szCs w:val="32"/>
            </w:rPr>
            <w:t>101</w:t>
          </w:r>
          <w:r>
            <w:rPr>
              <w:rFonts w:eastAsia="楷体" w:cs="Times New Roman"/>
              <w:sz w:val="32"/>
              <w:szCs w:val="32"/>
            </w:rPr>
            <w:fldChar w:fldCharType="end"/>
          </w:r>
          <w:r>
            <w:rPr>
              <w:rFonts w:eastAsia="楷体" w:cs="Times New Roman"/>
              <w:sz w:val="32"/>
              <w:szCs w:val="32"/>
            </w:rPr>
            <w:fldChar w:fldCharType="end"/>
          </w:r>
        </w:p>
        <w:p>
          <w:pPr>
            <w:pStyle w:val="14"/>
            <w:tabs>
              <w:tab w:val="left" w:pos="1320"/>
              <w:tab w:val="right" w:leader="dot" w:pos="8948"/>
            </w:tabs>
            <w:ind w:firstLine="0" w:firstLineChars="0"/>
            <w:rPr>
              <w:rStyle w:val="22"/>
              <w:rFonts w:eastAsia="黑体" w:cs="Times New Roman"/>
              <w:b w:val="0"/>
              <w:bCs w:val="0"/>
              <w:color w:val="auto"/>
              <w:sz w:val="32"/>
              <w:szCs w:val="32"/>
            </w:rPr>
          </w:pPr>
          <w:r>
            <w:fldChar w:fldCharType="begin"/>
          </w:r>
          <w:r>
            <w:instrText xml:space="preserve"> HYPERLINK \l "_Toc216945862" </w:instrText>
          </w:r>
          <w:r>
            <w:fldChar w:fldCharType="separate"/>
          </w:r>
          <w:r>
            <w:rPr>
              <w:rStyle w:val="22"/>
              <w:rFonts w:eastAsia="黑体" w:cs="Times New Roman"/>
              <w:b w:val="0"/>
              <w:bCs w:val="0"/>
              <w:color w:val="auto"/>
              <w:sz w:val="32"/>
              <w:szCs w:val="32"/>
            </w:rPr>
            <w:t>第十三章 切实增强保障 凝聚合力推动蓝图落地见效</w:t>
          </w:r>
          <w:r>
            <w:rPr>
              <w:rStyle w:val="22"/>
              <w:rFonts w:eastAsia="黑体" w:cs="Times New Roman"/>
              <w:b w:val="0"/>
              <w:bCs w:val="0"/>
              <w:color w:val="auto"/>
              <w:sz w:val="32"/>
              <w:szCs w:val="32"/>
            </w:rPr>
            <w:tab/>
          </w:r>
          <w:r>
            <w:rPr>
              <w:rStyle w:val="22"/>
              <w:rFonts w:eastAsia="黑体" w:cs="Times New Roman"/>
              <w:b w:val="0"/>
              <w:bCs w:val="0"/>
              <w:color w:val="auto"/>
              <w:sz w:val="32"/>
              <w:szCs w:val="32"/>
            </w:rPr>
            <w:fldChar w:fldCharType="begin"/>
          </w:r>
          <w:r>
            <w:rPr>
              <w:rStyle w:val="22"/>
              <w:rFonts w:eastAsia="黑体" w:cs="Times New Roman"/>
              <w:b w:val="0"/>
              <w:bCs w:val="0"/>
              <w:color w:val="auto"/>
              <w:sz w:val="32"/>
              <w:szCs w:val="32"/>
            </w:rPr>
            <w:instrText xml:space="preserve"> PAGEREF _Toc216945862 \h </w:instrText>
          </w:r>
          <w:r>
            <w:rPr>
              <w:rStyle w:val="22"/>
              <w:rFonts w:eastAsia="黑体" w:cs="Times New Roman"/>
              <w:b w:val="0"/>
              <w:bCs w:val="0"/>
              <w:color w:val="auto"/>
              <w:sz w:val="32"/>
              <w:szCs w:val="32"/>
            </w:rPr>
            <w:fldChar w:fldCharType="separate"/>
          </w:r>
          <w:r>
            <w:rPr>
              <w:rStyle w:val="22"/>
              <w:rFonts w:eastAsia="黑体" w:cs="Times New Roman"/>
              <w:b w:val="0"/>
              <w:bCs w:val="0"/>
              <w:color w:val="auto"/>
              <w:sz w:val="32"/>
              <w:szCs w:val="32"/>
            </w:rPr>
            <w:t>103</w:t>
          </w:r>
          <w:r>
            <w:rPr>
              <w:rStyle w:val="22"/>
              <w:rFonts w:eastAsia="黑体" w:cs="Times New Roman"/>
              <w:b w:val="0"/>
              <w:bCs w:val="0"/>
              <w:color w:val="auto"/>
              <w:sz w:val="32"/>
              <w:szCs w:val="32"/>
            </w:rPr>
            <w:fldChar w:fldCharType="end"/>
          </w:r>
          <w:r>
            <w:rPr>
              <w:rStyle w:val="22"/>
              <w:rFonts w:eastAsia="黑体" w:cs="Times New Roman"/>
              <w:b w:val="0"/>
              <w:bCs w:val="0"/>
              <w:color w:val="auto"/>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"_Toc216945863" </w:instrText>
          </w:r>
          <w:r>
            <w:fldChar w:fldCharType="separate"/>
          </w:r>
          <w:r>
            <w:rPr>
              <w:rStyle w:val="22"/>
              <w:rFonts w:eastAsia="楷体" w:cs="Times New Roman"/>
              <w:color w:val="auto"/>
              <w:sz w:val="32"/>
              <w:szCs w:val="32"/>
              <w:lang w:val="en-GB"/>
            </w:rPr>
            <w:t>第一节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全面加强党的领导</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_Toc216945863 \h </w:instrText>
          </w:r>
          <w:r>
            <w:rPr>
              <w:rFonts w:eastAsia="楷体" w:cs="Times New Roman"/>
              <w:sz w:val="32"/>
              <w:szCs w:val="32"/>
            </w:rPr>
            <w:fldChar w:fldCharType="separate"/>
          </w:r>
          <w:r>
            <w:rPr>
              <w:rFonts w:eastAsia="楷体" w:cs="Times New Roman"/>
              <w:sz w:val="32"/>
              <w:szCs w:val="32"/>
            </w:rPr>
            <w:t>103</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"_Toc216945864" </w:instrText>
          </w:r>
          <w:r>
            <w:fldChar w:fldCharType="separate"/>
          </w:r>
          <w:r>
            <w:rPr>
              <w:rStyle w:val="22"/>
              <w:rFonts w:eastAsia="楷体" w:cs="Times New Roman"/>
              <w:color w:val="auto"/>
              <w:sz w:val="32"/>
              <w:szCs w:val="32"/>
              <w:lang w:val="en-GB"/>
            </w:rPr>
            <w:t>第二节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深化社会主义民主政治建设</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_Toc216945864 \h </w:instrText>
          </w:r>
          <w:r>
            <w:rPr>
              <w:rFonts w:eastAsia="楷体" w:cs="Times New Roman"/>
              <w:sz w:val="32"/>
              <w:szCs w:val="32"/>
            </w:rPr>
            <w:fldChar w:fldCharType="separate"/>
          </w:r>
          <w:r>
            <w:rPr>
              <w:rFonts w:eastAsia="楷体" w:cs="Times New Roman"/>
              <w:sz w:val="32"/>
              <w:szCs w:val="32"/>
            </w:rPr>
            <w:t>104</w:t>
          </w:r>
          <w:r>
            <w:rPr>
              <w:rFonts w:eastAsia="楷体" w:cs="Times New Roman"/>
              <w:sz w:val="32"/>
              <w:szCs w:val="32"/>
            </w:rPr>
            <w:fldChar w:fldCharType="end"/>
          </w:r>
          <w:r>
            <w:rPr>
              <w:rFonts w:eastAsia="楷体" w:cs="Times New Roman"/>
              <w:sz w:val="32"/>
              <w:szCs w:val="32"/>
            </w:rPr>
            <w:fldChar w:fldCharType="end"/>
          </w:r>
        </w:p>
        <w:p>
          <w:pPr>
            <w:pStyle w:val="15"/>
            <w:tabs>
              <w:tab w:val="left" w:pos="1540"/>
              <w:tab w:val="right" w:leader="dot" w:pos="8948"/>
            </w:tabs>
            <w:ind w:firstLine="0" w:firstLineChars="0"/>
            <w:rPr>
              <w:rFonts w:eastAsia="楷体" w:cs="Times New Roman"/>
              <w:smallCaps w:val="0"/>
              <w:sz w:val="32"/>
              <w:szCs w:val="32"/>
              <w14:ligatures w14:val="standardContextual"/>
            </w:rPr>
          </w:pPr>
          <w:r>
            <w:fldChar w:fldCharType="begin"/>
          </w:r>
          <w:r>
            <w:instrText xml:space="preserve"> HYPERLINK \l "_Toc216945865" </w:instrText>
          </w:r>
          <w:r>
            <w:fldChar w:fldCharType="separate"/>
          </w:r>
          <w:r>
            <w:rPr>
              <w:rStyle w:val="22"/>
              <w:rFonts w:eastAsia="楷体" w:cs="Times New Roman"/>
              <w:color w:val="auto"/>
              <w:sz w:val="32"/>
              <w:szCs w:val="32"/>
              <w:lang w:val="en-GB"/>
            </w:rPr>
            <w:t>第三节</w:t>
          </w:r>
          <w:r>
            <w:rPr>
              <w:rFonts w:eastAsia="楷体" w:cs="Times New Roman"/>
              <w:smallCaps w:val="0"/>
              <w:sz w:val="32"/>
              <w:szCs w:val="32"/>
              <w14:ligatures w14:val="standardContextual"/>
            </w:rPr>
            <w:tab/>
          </w:r>
          <w:r>
            <w:rPr>
              <w:rStyle w:val="22"/>
              <w:rFonts w:eastAsia="楷体" w:cs="Times New Roman"/>
              <w:color w:val="auto"/>
              <w:sz w:val="32"/>
              <w:szCs w:val="32"/>
              <w:lang w:val="en-GB"/>
            </w:rPr>
            <w:t>健全规划制定和实施机制</w:t>
          </w:r>
          <w:r>
            <w:rPr>
              <w:rFonts w:eastAsia="楷体" w:cs="Times New Roman"/>
              <w:sz w:val="32"/>
              <w:szCs w:val="32"/>
            </w:rPr>
            <w:tab/>
          </w:r>
          <w:r>
            <w:rPr>
              <w:rFonts w:eastAsia="楷体" w:cs="Times New Roman"/>
              <w:sz w:val="32"/>
              <w:szCs w:val="32"/>
            </w:rPr>
            <w:fldChar w:fldCharType="begin"/>
          </w:r>
          <w:r>
            <w:rPr>
              <w:rFonts w:eastAsia="楷体" w:cs="Times New Roman"/>
              <w:sz w:val="32"/>
              <w:szCs w:val="32"/>
            </w:rPr>
            <w:instrText xml:space="preserve"> PAGEREF _Toc216945865 \h </w:instrText>
          </w:r>
          <w:r>
            <w:rPr>
              <w:rFonts w:eastAsia="楷体" w:cs="Times New Roman"/>
              <w:sz w:val="32"/>
              <w:szCs w:val="32"/>
            </w:rPr>
            <w:fldChar w:fldCharType="separate"/>
          </w:r>
          <w:r>
            <w:rPr>
              <w:rFonts w:eastAsia="楷体" w:cs="Times New Roman"/>
              <w:sz w:val="32"/>
              <w:szCs w:val="32"/>
            </w:rPr>
            <w:t>105</w:t>
          </w:r>
          <w:r>
            <w:rPr>
              <w:rFonts w:eastAsia="楷体" w:cs="Times New Roman"/>
              <w:sz w:val="32"/>
              <w:szCs w:val="32"/>
            </w:rPr>
            <w:fldChar w:fldCharType="end"/>
          </w:r>
          <w:r>
            <w:rPr>
              <w:rFonts w:eastAsia="楷体" w:cs="Times New Roman"/>
              <w:sz w:val="32"/>
              <w:szCs w:val="32"/>
            </w:rPr>
            <w:fldChar w:fldCharType="end"/>
          </w:r>
        </w:p>
        <w:p>
          <w:pPr>
            <w:spacing w:before="120" w:beforeLines="50" w:after="120" w:afterLines="50"/>
            <w:rPr>
              <w:rFonts w:ascii="Times New Roman" w:hAnsi="Times New Roman" w:eastAsia="黑体" w:cs="Times New Roman"/>
              <w:b/>
              <w:bCs/>
              <w:sz w:val="28"/>
              <w:szCs w:val="28"/>
            </w:rPr>
          </w:pPr>
          <w:r>
            <w:rPr>
              <w:rFonts w:ascii="Times New Roman" w:hAnsi="Times New Roman" w:eastAsia="楷体" w:cs="Times New Roman"/>
              <w:sz w:val="144"/>
              <w:szCs w:val="144"/>
            </w:rPr>
            <w:fldChar w:fldCharType="end"/>
          </w:r>
        </w:p>
      </w:sdtContent>
    </w:sdt>
    <w:p>
      <w:pPr>
        <w:spacing w:before="120" w:beforeLines="50" w:after="120" w:afterLines="50"/>
        <w:jc w:val="center"/>
        <w:rPr>
          <w:rFonts w:ascii="Times New Roman" w:hAnsi="Times New Roman" w:eastAsia="黑体" w:cs="Times New Roman"/>
          <w:b/>
          <w:bCs/>
          <w:sz w:val="28"/>
          <w:szCs w:val="28"/>
        </w:rPr>
        <w:sectPr>
          <w:footerReference r:id="rId7" w:type="default"/>
          <w:footerReference r:id="rId8" w:type="even"/>
          <w:pgSz w:w="11907" w:h="16840"/>
          <w:pgMar w:top="1474" w:right="1361" w:bottom="1474" w:left="1588" w:header="851" w:footer="851" w:gutter="0"/>
          <w:pgNumType w:fmt="decimal"/>
          <w:cols w:space="425" w:num="1"/>
          <w:docGrid w:linePitch="286" w:charSpace="0"/>
        </w:sectPr>
      </w:pPr>
    </w:p>
    <w:p>
      <w:pPr>
        <w:pStyle w:val="24"/>
        <w:rPr>
          <w:spacing w:val="-7"/>
          <w:sz w:val="40"/>
          <w:szCs w:val="22"/>
        </w:rPr>
      </w:pPr>
      <w:bookmarkStart w:id="1" w:name="_Toc216945800"/>
      <w:r>
        <w:rPr>
          <w:spacing w:val="-7"/>
          <w:sz w:val="40"/>
          <w:szCs w:val="22"/>
        </w:rPr>
        <w:t>新晃侗族自治县国民经济和社会发展</w:t>
      </w:r>
      <w:bookmarkEnd w:id="1"/>
    </w:p>
    <w:p>
      <w:pPr>
        <w:pStyle w:val="24"/>
        <w:rPr>
          <w:sz w:val="40"/>
          <w:szCs w:val="22"/>
        </w:rPr>
      </w:pPr>
      <w:bookmarkStart w:id="2" w:name="_Toc216945801"/>
      <w:r>
        <w:rPr>
          <w:spacing w:val="-7"/>
          <w:sz w:val="40"/>
          <w:szCs w:val="22"/>
        </w:rPr>
        <w:t>第十五个五年规划纲要</w:t>
      </w:r>
      <w:bookmarkEnd w:id="2"/>
    </w:p>
    <w:p>
      <w:pPr>
        <w:pStyle w:val="25"/>
        <w:ind w:firstLine="600"/>
        <w:rPr>
          <w:rFonts w:ascii="Times New Roman" w:hAnsi="Times New Roman" w:cs="Times New Roman"/>
        </w:rPr>
      </w:pPr>
    </w:p>
    <w:p>
      <w:pPr>
        <w:pStyle w:val="25"/>
        <w:ind w:firstLine="600"/>
        <w:rPr>
          <w:rFonts w:ascii="Times New Roman" w:hAnsi="Times New Roman" w:cs="Times New Roman"/>
        </w:rPr>
      </w:pPr>
      <w:r>
        <w:rPr>
          <w:rFonts w:ascii="Times New Roman" w:hAnsi="Times New Roman" w:cs="Times New Roman"/>
        </w:rPr>
        <w:t>《新晃侗族自治县国民经济和社会发展第十五个五年（2026—2030年）规划纲要》</w:t>
      </w:r>
      <w:r>
        <w:rPr>
          <w:rFonts w:hint="eastAsia" w:ascii="Times New Roman" w:hAnsi="Times New Roman" w:cs="Times New Roman"/>
          <w:lang w:eastAsia="zh-CN"/>
        </w:rPr>
        <w:t>，</w:t>
      </w:r>
      <w:r>
        <w:rPr>
          <w:rFonts w:ascii="Times New Roman" w:hAnsi="Times New Roman" w:cs="Times New Roman"/>
        </w:rPr>
        <w:t>根据《中共中央关于制定国民经济和社会发展第十五个五年规划的建议》《中共湖南省委关于制定湖南省国民经济和社会发展第十五个五年规划的建议》《中共怀化市委关于制定怀化市国民经济和社会发展第十五个五年规划的建议》《中共新晃侗族自治县委关于制定新晃侗族自治县国民经济和社会发展第十五个五年规划的建议》编制，主要阐明全县战略意图，明确经济社会发展宏伟目标、主要任务、重大举措和重点项目，是市场主体的行为导向，是政府履职的重要依据，是全县人民共同奋斗的行动纲领。</w:t>
      </w:r>
    </w:p>
    <w:p>
      <w:pPr>
        <w:pStyle w:val="25"/>
        <w:ind w:firstLine="600"/>
        <w:rPr>
          <w:rFonts w:ascii="Times New Roman" w:hAnsi="Times New Roman" w:cs="Times New Roman"/>
        </w:rPr>
      </w:pPr>
    </w:p>
    <w:p>
      <w:pPr>
        <w:pStyle w:val="25"/>
        <w:ind w:firstLine="600"/>
        <w:rPr>
          <w:rFonts w:ascii="Times New Roman" w:hAnsi="Times New Roman" w:cs="Times New Roman"/>
        </w:rPr>
      </w:pPr>
    </w:p>
    <w:p>
      <w:pPr>
        <w:pStyle w:val="25"/>
        <w:ind w:firstLine="600"/>
        <w:rPr>
          <w:rFonts w:ascii="Times New Roman" w:hAnsi="Times New Roman" w:cs="Times New Roman"/>
        </w:rPr>
      </w:pPr>
    </w:p>
    <w:p>
      <w:pPr>
        <w:pStyle w:val="25"/>
        <w:ind w:firstLine="600"/>
        <w:rPr>
          <w:rFonts w:ascii="Times New Roman" w:hAnsi="Times New Roman" w:cs="Times New Roman"/>
        </w:rPr>
      </w:pPr>
    </w:p>
    <w:p>
      <w:pPr>
        <w:pStyle w:val="25"/>
        <w:ind w:firstLine="600"/>
        <w:rPr>
          <w:rFonts w:ascii="Times New Roman" w:hAnsi="Times New Roman" w:cs="Times New Roman"/>
        </w:rPr>
      </w:pPr>
    </w:p>
    <w:p>
      <w:pPr>
        <w:pStyle w:val="25"/>
        <w:ind w:firstLine="600"/>
        <w:rPr>
          <w:rFonts w:ascii="Times New Roman" w:hAnsi="Times New Roman" w:cs="Times New Roman"/>
        </w:rPr>
      </w:pPr>
    </w:p>
    <w:p>
      <w:pPr>
        <w:pStyle w:val="25"/>
        <w:ind w:firstLine="600"/>
        <w:rPr>
          <w:rFonts w:ascii="Times New Roman" w:hAnsi="Times New Roman" w:cs="Times New Roman"/>
        </w:rPr>
      </w:pPr>
    </w:p>
    <w:p>
      <w:pPr>
        <w:pStyle w:val="24"/>
        <w:numPr>
          <w:ilvl w:val="0"/>
          <w:numId w:val="1"/>
        </w:numPr>
        <w:rPr>
          <w:spacing w:val="-17"/>
        </w:rPr>
      </w:pPr>
      <w:bookmarkStart w:id="3" w:name="_Toc216945802"/>
      <w:r>
        <w:rPr>
          <w:spacing w:val="-17"/>
        </w:rPr>
        <w:t>加速跨越赶超 奋力开启新晃高质量发展新征程</w:t>
      </w:r>
      <w:bookmarkEnd w:id="3"/>
    </w:p>
    <w:p>
      <w:pPr>
        <w:pStyle w:val="29"/>
        <w:numPr>
          <w:ilvl w:val="0"/>
          <w:numId w:val="2"/>
        </w:numPr>
        <w:rPr>
          <w:rFonts w:ascii="Times New Roman" w:hAnsi="Times New Roman" w:cs="Times New Roman"/>
          <w:lang w:val="en-GB"/>
        </w:rPr>
      </w:pPr>
      <w:bookmarkStart w:id="4" w:name="_Toc216945803"/>
      <w:r>
        <w:rPr>
          <w:rFonts w:ascii="Times New Roman" w:hAnsi="Times New Roman" w:cs="Times New Roman"/>
          <w:lang w:val="en-GB"/>
        </w:rPr>
        <w:t>发展基础</w:t>
      </w:r>
      <w:bookmarkEnd w:id="4"/>
    </w:p>
    <w:p>
      <w:pPr>
        <w:pStyle w:val="25"/>
        <w:ind w:firstLine="600"/>
        <w:rPr>
          <w:rFonts w:ascii="Times New Roman" w:hAnsi="Times New Roman" w:cs="Times New Roman"/>
        </w:rPr>
      </w:pPr>
      <w:bookmarkStart w:id="5" w:name="_Hlk209012687"/>
      <w:bookmarkStart w:id="6" w:name="_Hlk186804872"/>
      <w:bookmarkStart w:id="7" w:name="_Hlk186891691"/>
      <w:r>
        <w:rPr>
          <w:rFonts w:ascii="Times New Roman" w:hAnsi="Times New Roman" w:cs="Times New Roman"/>
        </w:rPr>
        <w:t>“十四五”时期，面对外部压力加大、内部困难增多的复杂严峻形势，全县上下始终坚持以习近平新时代中国特色社会主义思想为指导，深入学习贯彻党的二十大和二十届历次全会精神，认真落实习近平总书记考察湖南时的重要讲话和指示批示精神，在省、市的坚强领导下，县委、县政府团结带领全县人民，锚定“三高四新”美好蓝图，深入实施“五新四城”战略，奋力建设“一堡五高地”，全县经济运行稳健有力，发展动能加速转换，民生福祉持续增进，高质量发展态势得到进一步巩固。</w:t>
      </w:r>
    </w:p>
    <w:p>
      <w:pPr>
        <w:pStyle w:val="25"/>
        <w:ind w:firstLine="602"/>
        <w:rPr>
          <w:rFonts w:ascii="Times New Roman" w:hAnsi="Times New Roman" w:cs="Times New Roman"/>
        </w:rPr>
      </w:pPr>
      <w:r>
        <w:rPr>
          <w:rFonts w:ascii="Times New Roman" w:hAnsi="Times New Roman" w:eastAsia="楷体" w:cs="Times New Roman"/>
          <w:b/>
          <w:bCs/>
        </w:rPr>
        <w:t>综合经济实力全面提升。</w:t>
      </w:r>
      <w:r>
        <w:rPr>
          <w:rFonts w:ascii="Times New Roman" w:hAnsi="Times New Roman" w:cs="Times New Roman"/>
        </w:rPr>
        <w:t>全县经济保持平稳较快增长，</w:t>
      </w:r>
      <w:r>
        <w:rPr>
          <w:rFonts w:hint="eastAsia" w:ascii="Times New Roman" w:hAnsi="Times New Roman" w:cs="Times New Roman"/>
          <w:lang w:eastAsia="zh-CN"/>
        </w:rPr>
        <w:t>“十四五”末，</w:t>
      </w:r>
      <w:r>
        <w:rPr>
          <w:rFonts w:ascii="Times New Roman" w:hAnsi="Times New Roman" w:cs="Times New Roman"/>
        </w:rPr>
        <w:t>GDP</w:t>
      </w:r>
      <w:r>
        <w:rPr>
          <w:rFonts w:hint="eastAsia" w:ascii="Times New Roman" w:hAnsi="Times New Roman" w:cs="Times New Roman"/>
          <w:lang w:eastAsia="zh-CN"/>
        </w:rPr>
        <w:t>总值历史性突破百亿元大关</w:t>
      </w:r>
      <w:r>
        <w:rPr>
          <w:rFonts w:ascii="Times New Roman" w:hAnsi="Times New Roman" w:cs="Times New Roman"/>
        </w:rPr>
        <w:t>，</w:t>
      </w:r>
      <w:r>
        <w:rPr>
          <w:rFonts w:hint="eastAsia" w:ascii="Times New Roman" w:hAnsi="Times New Roman" w:cs="Times New Roman"/>
          <w:lang w:eastAsia="zh-CN"/>
        </w:rPr>
        <w:t>较</w:t>
      </w:r>
      <w:r>
        <w:rPr>
          <w:rFonts w:hint="eastAsia" w:ascii="Times New Roman" w:hAnsi="Times New Roman" w:cs="Times New Roman"/>
          <w:lang w:val="en-US" w:eastAsia="zh-CN"/>
        </w:rPr>
        <w:t>2020年增长53.2%</w:t>
      </w:r>
      <w:r>
        <w:rPr>
          <w:rFonts w:ascii="Times New Roman" w:hAnsi="Times New Roman" w:cs="Times New Roman"/>
        </w:rPr>
        <w:t>。三次产业结构由2020年的17:28.7:54.3调整为</w:t>
      </w:r>
      <w:r>
        <w:rPr>
          <w:rFonts w:hint="eastAsia" w:ascii="Times New Roman" w:hAnsi="Times New Roman" w:cs="Times New Roman"/>
        </w:rPr>
        <w:t>12.8:32.7:54.5</w:t>
      </w:r>
      <w:r>
        <w:rPr>
          <w:rFonts w:ascii="Times New Roman" w:hAnsi="Times New Roman" w:cs="Times New Roman"/>
        </w:rPr>
        <w:t>，结构明显优化。县城镇居民人均可支配收入达</w:t>
      </w:r>
      <w:r>
        <w:rPr>
          <w:rFonts w:hint="eastAsia" w:ascii="Times New Roman" w:hAnsi="Times New Roman" w:cs="Times New Roman"/>
          <w:lang w:val="en-US" w:eastAsia="zh-CN"/>
        </w:rPr>
        <w:t>31949</w:t>
      </w:r>
      <w:r>
        <w:rPr>
          <w:rFonts w:ascii="Times New Roman" w:hAnsi="Times New Roman" w:cs="Times New Roman"/>
        </w:rPr>
        <w:t>元，较2020年增长</w:t>
      </w:r>
      <w:r>
        <w:rPr>
          <w:rFonts w:hint="eastAsia" w:ascii="Times New Roman" w:hAnsi="Times New Roman" w:cs="Times New Roman"/>
          <w:lang w:val="en-US" w:eastAsia="zh-CN"/>
        </w:rPr>
        <w:t>32.6</w:t>
      </w:r>
      <w:r>
        <w:rPr>
          <w:rFonts w:ascii="Times New Roman" w:hAnsi="Times New Roman" w:cs="Times New Roman"/>
        </w:rPr>
        <w:t>%；农村居民人均可支配收入</w:t>
      </w:r>
      <w:r>
        <w:rPr>
          <w:rFonts w:hint="eastAsia" w:ascii="Times New Roman" w:hAnsi="Times New Roman" w:cs="Times New Roman"/>
          <w:lang w:val="en-US" w:eastAsia="zh-CN"/>
        </w:rPr>
        <w:t>15836</w:t>
      </w:r>
      <w:r>
        <w:rPr>
          <w:rFonts w:ascii="Times New Roman" w:hAnsi="Times New Roman" w:cs="Times New Roman"/>
        </w:rPr>
        <w:t>元，较2020年增长</w:t>
      </w:r>
      <w:r>
        <w:rPr>
          <w:rFonts w:hint="eastAsia" w:ascii="Times New Roman" w:hAnsi="Times New Roman" w:cs="Times New Roman"/>
          <w:lang w:val="en-US" w:eastAsia="zh-CN"/>
        </w:rPr>
        <w:t>47.6</w:t>
      </w:r>
      <w:r>
        <w:rPr>
          <w:rFonts w:ascii="Times New Roman" w:hAnsi="Times New Roman" w:cs="Times New Roman"/>
        </w:rPr>
        <w:t>%。固定资产投资</w:t>
      </w:r>
      <w:r>
        <w:rPr>
          <w:rFonts w:hint="eastAsia" w:ascii="Times New Roman" w:hAnsi="Times New Roman" w:cs="Times New Roman"/>
          <w:lang w:eastAsia="zh-CN"/>
        </w:rPr>
        <w:t>年</w:t>
      </w:r>
      <w:r>
        <w:rPr>
          <w:rFonts w:ascii="Times New Roman" w:hAnsi="Times New Roman" w:cs="Times New Roman"/>
        </w:rPr>
        <w:t>均增长12.5%，规模工业增加值年均增长</w:t>
      </w:r>
      <w:r>
        <w:rPr>
          <w:rFonts w:hint="eastAsia" w:ascii="Times New Roman" w:hAnsi="Times New Roman" w:cs="Times New Roman"/>
          <w:lang w:val="en-US" w:eastAsia="zh-CN"/>
        </w:rPr>
        <w:t>11.74</w:t>
      </w:r>
      <w:r>
        <w:rPr>
          <w:rFonts w:ascii="Times New Roman" w:hAnsi="Times New Roman" w:cs="Times New Roman"/>
        </w:rPr>
        <w:t>%，社会消费品零售总额年均增长7.7%</w:t>
      </w:r>
      <w:r>
        <w:rPr>
          <w:rFonts w:hint="eastAsia" w:ascii="Times New Roman" w:hAnsi="Times New Roman" w:cs="Times New Roman"/>
        </w:rPr>
        <w:t>。地方一般公共预算收入较“十三五”期间增长28.1%，</w:t>
      </w:r>
      <w:r>
        <w:rPr>
          <w:rFonts w:ascii="Times New Roman" w:hAnsi="Times New Roman" w:cs="Times New Roman"/>
        </w:rPr>
        <w:t>是历史上主要经济指标增速最快的时期之一。</w:t>
      </w:r>
    </w:p>
    <w:p>
      <w:pPr>
        <w:pStyle w:val="25"/>
        <w:ind w:firstLine="602"/>
        <w:rPr>
          <w:rFonts w:ascii="Times New Roman" w:hAnsi="Times New Roman" w:cs="Times New Roman"/>
        </w:rPr>
      </w:pPr>
      <w:r>
        <w:rPr>
          <w:rFonts w:ascii="Times New Roman" w:hAnsi="Times New Roman" w:eastAsia="楷体" w:cs="Times New Roman"/>
          <w:b/>
          <w:bCs/>
        </w:rPr>
        <w:t>产业转型升级成效显著。</w:t>
      </w:r>
      <w:r>
        <w:rPr>
          <w:rFonts w:ascii="Times New Roman" w:hAnsi="Times New Roman" w:cs="Times New Roman"/>
        </w:rPr>
        <w:t>工业支撑显著增强，成功获批省级化工园区，铁合金基地西部片区落地建设。制造业增加值占GDP比重提升至22.8%，提升1.5个百分点。高新技术产业产值达15亿元，较2020年增长552%，呈现爆发式增长态势。农业特色更加鲜明，“新晃黄牛肉”“新晃龙脑”“新晃侗藏红米”等国家地理标志保护产品持续擦亮品牌，“新晃黄精”“新晃五倍子蜂蜜”入列全国名特优新农产品名录，黄精鲜货、干货交易量占全国1/3市场份额，龙脑开发系列产品20余种。服务业活力持续释放，龙溪古镇成功创建国家4A级旅游景区，夜郎大峡谷成功创建3A级旅游景区，黄精文化产业园获评省级工业旅游示范点，龙溪研学实践教育基地、沛霖龙脑产业基地获评省级文旅新业态基地。</w:t>
      </w:r>
    </w:p>
    <w:p>
      <w:pPr>
        <w:pStyle w:val="25"/>
        <w:ind w:firstLine="602"/>
        <w:rPr>
          <w:rFonts w:ascii="Times New Roman" w:hAnsi="Times New Roman" w:cs="Times New Roman"/>
        </w:rPr>
      </w:pPr>
      <w:r>
        <w:rPr>
          <w:rFonts w:ascii="Times New Roman" w:hAnsi="Times New Roman" w:eastAsia="楷体" w:cs="Times New Roman"/>
          <w:b/>
          <w:bCs/>
        </w:rPr>
        <w:t>科技创新水平整体增强。</w:t>
      </w:r>
      <w:r>
        <w:rPr>
          <w:rFonts w:ascii="Times New Roman" w:hAnsi="Times New Roman" w:cs="Times New Roman"/>
        </w:rPr>
        <w:t>全社会研发经费</w:t>
      </w:r>
      <w:r>
        <w:rPr>
          <w:rFonts w:hint="eastAsia" w:ascii="Times New Roman" w:hAnsi="Times New Roman" w:cs="Times New Roman"/>
          <w:lang w:eastAsia="zh-CN"/>
        </w:rPr>
        <w:t>投入</w:t>
      </w:r>
      <w:r>
        <w:rPr>
          <w:rFonts w:ascii="Times New Roman" w:hAnsi="Times New Roman" w:cs="Times New Roman"/>
        </w:rPr>
        <w:t>年均增长18.7</w:t>
      </w:r>
      <w:r>
        <w:rPr>
          <w:rFonts w:hint="eastAsia" w:ascii="Times New Roman" w:hAnsi="Times New Roman" w:cs="Times New Roman"/>
          <w:lang w:val="en-US" w:eastAsia="zh-CN"/>
        </w:rPr>
        <w:t>1</w:t>
      </w:r>
      <w:r>
        <w:rPr>
          <w:rFonts w:ascii="Times New Roman" w:hAnsi="Times New Roman" w:cs="Times New Roman"/>
        </w:rPr>
        <w:t>%；技术合同成交额11.2亿元，年均增长99.1%。科技型中小企业入库92家，年均增长71.8%。高新技术企业累计达到26家，年均增长15.2%。开源数字集团挂牌成立，全国乡村振兴首个县域数据产品“晃牛保”顺利在深圳数交所上市，获评全国县域数字经济发展示范县。新晃黄精GAP示范基地、新晃龙脑研究院正式揭牌。建成桂花岛数智旅游平台，实现旅游信息智能化管理和服务。智慧物流、智慧城市、数字乡村、数字医疗建设走在西部县域前列。</w:t>
      </w:r>
    </w:p>
    <w:p>
      <w:pPr>
        <w:pStyle w:val="25"/>
        <w:ind w:firstLine="602"/>
        <w:rPr>
          <w:rFonts w:ascii="Times New Roman" w:hAnsi="Times New Roman" w:cs="Times New Roman"/>
        </w:rPr>
      </w:pPr>
      <w:r>
        <w:rPr>
          <w:rFonts w:ascii="Times New Roman" w:hAnsi="Times New Roman" w:eastAsia="楷体" w:cs="Times New Roman"/>
          <w:b/>
          <w:bCs/>
        </w:rPr>
        <w:t>改革开放活力加速释放。</w:t>
      </w:r>
      <w:r>
        <w:rPr>
          <w:rFonts w:ascii="Times New Roman" w:hAnsi="Times New Roman" w:cs="Times New Roman"/>
        </w:rPr>
        <w:t>重点改革全面深化，“放管服”改革深入推进，改革攻坚行动62项清单任务全面落实。园区管理体制改革持续深化，下放审批管理权限55项。经济领域改革取得突破，完成晃源集团市场化转型，构建“1+2+3+N+X”乡村振兴金融服务体系，创新推出“黄牛贷”“黄精保”等金融产品，普惠金融重点领域贷款余额25.1亿元，占比居全市第一，“金融超市”政务改革入选省揭榜竞优案例。营商环境改革成效明显，排名两度进入全省前20。开放活力持续释放，怀化国际陆港·新晃港获批成立，新晃海关服务站挂牌成立，外贸服务更加便利。更新签订《新时代湘黔大（龙）新（晃）经济协作示范园建设合作协议》，成功建设大新公铁联运物流园。开放型经济取得新成效，跨境电商、临港产业快速发展，国际班列</w:t>
      </w:r>
      <w:r>
        <w:rPr>
          <w:rFonts w:hint="eastAsia" w:ascii="Times New Roman" w:hAnsi="Times New Roman" w:cs="Times New Roman"/>
          <w:lang w:eastAsia="zh-CN"/>
        </w:rPr>
        <w:t>累计开行</w:t>
      </w:r>
      <w:r>
        <w:rPr>
          <w:rFonts w:hint="eastAsia" w:ascii="Times New Roman" w:hAnsi="Times New Roman" w:cs="Times New Roman"/>
          <w:lang w:val="en-US" w:eastAsia="zh-CN"/>
        </w:rPr>
        <w:t>366</w:t>
      </w:r>
      <w:r>
        <w:rPr>
          <w:rFonts w:ascii="Times New Roman" w:hAnsi="Times New Roman" w:cs="Times New Roman"/>
        </w:rPr>
        <w:t>列，铁路货运吞吐量</w:t>
      </w:r>
      <w:r>
        <w:rPr>
          <w:rFonts w:hint="eastAsia" w:ascii="Times New Roman" w:hAnsi="Times New Roman" w:cs="Times New Roman"/>
          <w:lang w:val="en-US" w:eastAsia="zh-CN"/>
        </w:rPr>
        <w:t>840</w:t>
      </w:r>
      <w:r>
        <w:rPr>
          <w:rFonts w:ascii="Times New Roman" w:hAnsi="Times New Roman" w:cs="Times New Roman"/>
        </w:rPr>
        <w:t>万吨，全县外贸规模持续扩大，进出口总额达14.8亿元，年均增长76.4%，实际使用外资817万美元，年均增长151%。成功举办第二届中国黄精产业发展大会暨第七届武陵山（怀化）国际健康产业博览会、农特产品展销会，新晃和新晃产品影响力不断扩大。</w:t>
      </w:r>
    </w:p>
    <w:p>
      <w:pPr>
        <w:pStyle w:val="25"/>
        <w:ind w:firstLine="602"/>
        <w:rPr>
          <w:rFonts w:ascii="Times New Roman" w:hAnsi="Times New Roman" w:cs="Times New Roman"/>
        </w:rPr>
      </w:pPr>
      <w:r>
        <w:rPr>
          <w:rFonts w:ascii="Times New Roman" w:hAnsi="Times New Roman" w:eastAsia="楷体" w:cs="Times New Roman"/>
          <w:b/>
          <w:bCs/>
        </w:rPr>
        <w:t>民生社会福祉稳步提升。</w:t>
      </w:r>
      <w:r>
        <w:rPr>
          <w:rFonts w:ascii="Times New Roman" w:hAnsi="Times New Roman" w:cs="Times New Roman"/>
        </w:rPr>
        <w:t>民生支出投入平均占一般公共预算支出比重的83%。稳步推进教育布局调整，持续加大教育投入，实施县一中提质和农村学校消薄工程，普通教育均衡发展</w:t>
      </w:r>
      <w:r>
        <w:rPr>
          <w:rFonts w:hint="eastAsia" w:ascii="Times New Roman" w:hAnsi="Times New Roman" w:cs="Times New Roman"/>
        </w:rPr>
        <w:t>，</w:t>
      </w:r>
      <w:r>
        <w:rPr>
          <w:rFonts w:ascii="Times New Roman" w:hAnsi="Times New Roman" w:cs="Times New Roman"/>
        </w:rPr>
        <w:t>教育质量显著提升，空军招飞录取人数排全国第四、全市第一，县一中本科</w:t>
      </w:r>
      <w:r>
        <w:rPr>
          <w:rFonts w:hint="eastAsia" w:ascii="Times New Roman" w:hAnsi="Times New Roman" w:cs="Times New Roman"/>
          <w:lang w:eastAsia="zh-CN"/>
        </w:rPr>
        <w:t>上线</w:t>
      </w:r>
      <w:r>
        <w:rPr>
          <w:rFonts w:ascii="Times New Roman" w:hAnsi="Times New Roman" w:cs="Times New Roman"/>
        </w:rPr>
        <w:t>率达</w:t>
      </w:r>
      <w:r>
        <w:rPr>
          <w:rFonts w:hint="eastAsia" w:ascii="Times New Roman" w:hAnsi="Times New Roman" w:cs="Times New Roman"/>
          <w:lang w:val="en-US" w:eastAsia="zh-CN"/>
        </w:rPr>
        <w:t>83.43</w:t>
      </w:r>
      <w:r>
        <w:rPr>
          <w:rFonts w:ascii="Times New Roman" w:hAnsi="Times New Roman" w:cs="Times New Roman"/>
        </w:rPr>
        <w:t>%。省级边界区域医疗</w:t>
      </w:r>
      <w:bookmarkStart w:id="191" w:name="_GoBack"/>
      <w:bookmarkEnd w:id="191"/>
      <w:r>
        <w:rPr>
          <w:rFonts w:ascii="Times New Roman" w:hAnsi="Times New Roman" w:cs="Times New Roman"/>
        </w:rPr>
        <w:t>中心建设稳步推进，县人民医院通过三级医院评审，县中医医院启动三级中医医院创建，全国基层中医药工作示范县创建通过省级评估。</w:t>
      </w:r>
      <w:r>
        <w:rPr>
          <w:rFonts w:hint="eastAsia" w:ascii="Times New Roman" w:hAnsi="Times New Roman" w:cs="Times New Roman"/>
          <w:lang w:eastAsia="zh-CN"/>
        </w:rPr>
        <w:t>成功举办</w:t>
      </w:r>
      <w:r>
        <w:rPr>
          <w:rFonts w:ascii="Times New Roman" w:hAnsi="Times New Roman" w:cs="Times New Roman"/>
        </w:rPr>
        <w:t>湖南省青少年射箭锦标赛等多项省级赛事，群众性文体活动广泛开展，文体事业加快繁荣。</w:t>
      </w:r>
    </w:p>
    <w:p>
      <w:pPr>
        <w:pStyle w:val="25"/>
        <w:ind w:firstLine="602"/>
        <w:rPr>
          <w:rFonts w:ascii="Times New Roman" w:hAnsi="Times New Roman" w:cs="Times New Roman"/>
        </w:rPr>
      </w:pPr>
      <w:r>
        <w:rPr>
          <w:rFonts w:ascii="Times New Roman" w:hAnsi="Times New Roman" w:eastAsia="楷体" w:cs="Times New Roman"/>
          <w:b/>
          <w:bCs/>
        </w:rPr>
        <w:t>城乡整体面貌有效改善。</w:t>
      </w:r>
      <w:r>
        <w:rPr>
          <w:rFonts w:ascii="Times New Roman" w:hAnsi="Times New Roman" w:cs="Times New Roman"/>
        </w:rPr>
        <w:t>累计完成5条国省道共86公里改造，新建城区道路28.6公里，新建桥梁7座。完成2.3公里老旧供水管网改造，新建供水管网16.967公里。实施晃山路、人民路雨污分流管网，城区污水集中处理率达93%，出水水质达国家一级A标准。累计新建112个公共充换电桩。国家卫生县</w:t>
      </w:r>
      <w:r>
        <w:rPr>
          <w:rFonts w:hint="eastAsia" w:ascii="Times New Roman" w:hAnsi="Times New Roman" w:cs="Times New Roman"/>
        </w:rPr>
        <w:t>城</w:t>
      </w:r>
      <w:r>
        <w:rPr>
          <w:rFonts w:ascii="Times New Roman" w:hAnsi="Times New Roman" w:cs="Times New Roman"/>
        </w:rPr>
        <w:t>通过复审。共同富裕扎实推进，全县村级集体经济收入比</w:t>
      </w:r>
      <w:r>
        <w:rPr>
          <w:rFonts w:hint="eastAsia" w:ascii="Times New Roman" w:hAnsi="Times New Roman" w:cs="Times New Roman"/>
        </w:rPr>
        <w:t>“</w:t>
      </w:r>
      <w:r>
        <w:rPr>
          <w:rFonts w:ascii="Times New Roman" w:hAnsi="Times New Roman" w:cs="Times New Roman"/>
        </w:rPr>
        <w:t>十三五</w:t>
      </w:r>
      <w:r>
        <w:rPr>
          <w:rFonts w:hint="eastAsia" w:ascii="Times New Roman" w:hAnsi="Times New Roman" w:cs="Times New Roman"/>
        </w:rPr>
        <w:t>”</w:t>
      </w:r>
      <w:r>
        <w:rPr>
          <w:rFonts w:ascii="Times New Roman" w:hAnsi="Times New Roman" w:cs="Times New Roman"/>
        </w:rPr>
        <w:t>末增长49.94%。农村人居环境持续提升，波洲暮山坪村获评省级美丽乡村，扶罗镇、禾滩镇成功创建市级和美乡镇。</w:t>
      </w:r>
    </w:p>
    <w:p>
      <w:pPr>
        <w:pStyle w:val="25"/>
        <w:ind w:firstLine="602"/>
        <w:rPr>
          <w:rFonts w:ascii="Times New Roman" w:hAnsi="Times New Roman" w:cs="Times New Roman"/>
        </w:rPr>
      </w:pPr>
      <w:r>
        <w:rPr>
          <w:rFonts w:ascii="Times New Roman" w:hAnsi="Times New Roman" w:eastAsia="楷体" w:cs="Times New Roman"/>
          <w:b/>
          <w:bCs/>
        </w:rPr>
        <w:t>生态环境质量持续优化。</w:t>
      </w:r>
      <w:r>
        <w:rPr>
          <w:rFonts w:ascii="Times New Roman" w:hAnsi="Times New Roman" w:cs="Times New Roman"/>
        </w:rPr>
        <w:t>加强污染治理，累计治理受污染耕地1.26万亩，修复历史遗留矿山21.45公顷、裸露山体20.1公顷。强化生态保护，完成人工造林面积7.80万亩，封山育林面积15.90万亩，森林覆盖率增长至70.41%，县域空气优良率达98%，水质质量综合指数居全市前列。推进绿色发展，光伏等清洁能源装机容量增长50%，单位GDP能耗累计下降超25%。推动生态产品价值实现，探索林业碳汇交易，黄精林下种植等生态产业带动农民亩均增收5000元。</w:t>
      </w:r>
    </w:p>
    <w:p>
      <w:pPr>
        <w:pStyle w:val="25"/>
        <w:ind w:firstLine="602"/>
        <w:rPr>
          <w:rFonts w:ascii="Times New Roman" w:hAnsi="Times New Roman" w:cs="Times New Roman"/>
        </w:rPr>
      </w:pPr>
      <w:r>
        <w:rPr>
          <w:rFonts w:ascii="Times New Roman" w:hAnsi="Times New Roman" w:eastAsia="楷体" w:cs="Times New Roman"/>
          <w:b/>
          <w:bCs/>
        </w:rPr>
        <w:t>社会治理效能不断增强。</w:t>
      </w:r>
      <w:r>
        <w:rPr>
          <w:rFonts w:ascii="Times New Roman" w:hAnsi="Times New Roman" w:cs="Times New Roman"/>
        </w:rPr>
        <w:t>创新基层治理体系，柳寨村“三治融合”模式获省委组织部推广。建立“三源共治”机制，矛盾纠纷化解率达9</w:t>
      </w:r>
      <w:r>
        <w:rPr>
          <w:rFonts w:hint="eastAsia" w:ascii="Times New Roman" w:hAnsi="Times New Roman" w:cs="Times New Roman"/>
          <w:lang w:val="en-US" w:eastAsia="zh-CN"/>
        </w:rPr>
        <w:t>8</w:t>
      </w:r>
      <w:r>
        <w:rPr>
          <w:rFonts w:ascii="Times New Roman" w:hAnsi="Times New Roman" w:cs="Times New Roman"/>
        </w:rPr>
        <w:t>%，信访总量下降32%。建立湘黔边界“六联”机制，化解跨界纠纷156起。平安建设成效突出，连续16年保持“湖南省平安县”荣誉，综治民调排名全省第3、全市第1；创建国家级民主法治示范村1个、省级4个。“法治进文旅场馆”获评全省优秀案例。步头降苗族乡获评“全国文明村镇”，扶罗镇伞寨村入选“全国乡村治理示范村”。政府隐性债务化解任务提前完成，非法集资陈案化解率100%。“保交楼”任务完成率100%，交付1844套住房，不动产登记率95.82%。</w:t>
      </w:r>
    </w:p>
    <w:p>
      <w:pPr>
        <w:pStyle w:val="25"/>
        <w:ind w:firstLine="600"/>
        <w:rPr>
          <w:rFonts w:ascii="Times New Roman" w:hAnsi="Times New Roman" w:cs="Times New Roman"/>
        </w:rPr>
      </w:pPr>
      <w:r>
        <w:rPr>
          <w:rFonts w:ascii="Times New Roman" w:hAnsi="Times New Roman" w:cs="Times New Roman"/>
        </w:rPr>
        <w:t>经过五年努力，全县经济社会取得了全方位历史性成就，发生了深层次结构性转变，新晃的发展站在了新的历史起点上。但是，对照高质量发展要求和人民群众的期盼，发展中也存在一些问题和困难，主要是：经济总量相对偏少，产业基础相对薄弱，新旧动能转换任务较重，财政收支平衡压力较大，基础设施和民生领域还存在短板等等，需要在“十五五”期间逐步改善和解决。</w:t>
      </w:r>
    </w:p>
    <w:p>
      <w:pPr>
        <w:pStyle w:val="32"/>
        <w:rPr>
          <w:rFonts w:ascii="Times New Roman" w:hAnsi="Times New Roman" w:cs="Times New Roman"/>
        </w:rPr>
      </w:pPr>
      <w:r>
        <w:rPr>
          <w:rFonts w:ascii="Times New Roman" w:hAnsi="Times New Roman" w:cs="Times New Roman"/>
        </w:rPr>
        <w:t>表1.1-1 新晃县“十四五”经济社会发展主要指标完成情况</w:t>
      </w:r>
    </w:p>
    <w:tbl>
      <w:tblPr>
        <w:tblStyle w:val="18"/>
        <w:tblW w:w="902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82"/>
        <w:gridCol w:w="524"/>
        <w:gridCol w:w="2846"/>
        <w:gridCol w:w="831"/>
        <w:gridCol w:w="1188"/>
        <w:gridCol w:w="872"/>
        <w:gridCol w:w="1165"/>
        <w:gridCol w:w="102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restart"/>
            <w:vAlign w:val="center"/>
          </w:tcPr>
          <w:p>
            <w:pPr>
              <w:pStyle w:val="16"/>
              <w:widowControl w:val="0"/>
              <w:spacing w:beforeAutospacing="0" w:afterAutospacing="0"/>
              <w:jc w:val="center"/>
              <w:rPr>
                <w:rFonts w:ascii="Times New Roman" w:hAnsi="Times New Roman" w:eastAsia="仿宋"/>
                <w:b/>
                <w:sz w:val="21"/>
                <w:szCs w:val="21"/>
              </w:rPr>
            </w:pPr>
            <w:bookmarkStart w:id="8" w:name="_Hlk209025869"/>
            <w:r>
              <w:rPr>
                <w:rFonts w:ascii="Times New Roman" w:hAnsi="Times New Roman" w:eastAsia="仿宋"/>
                <w:b/>
                <w:sz w:val="21"/>
                <w:szCs w:val="21"/>
              </w:rPr>
              <w:t>类别</w:t>
            </w:r>
          </w:p>
        </w:tc>
        <w:tc>
          <w:tcPr>
            <w:tcW w:w="524" w:type="dxa"/>
            <w:vMerge w:val="restart"/>
            <w:vAlign w:val="center"/>
          </w:tcPr>
          <w:p>
            <w:pPr>
              <w:pStyle w:val="16"/>
              <w:widowControl w:val="0"/>
              <w:spacing w:beforeAutospacing="0" w:afterAutospacing="0"/>
              <w:jc w:val="center"/>
              <w:rPr>
                <w:rFonts w:ascii="Times New Roman" w:hAnsi="Times New Roman" w:eastAsia="仿宋"/>
                <w:b/>
                <w:sz w:val="21"/>
                <w:szCs w:val="21"/>
              </w:rPr>
            </w:pPr>
            <w:r>
              <w:rPr>
                <w:rFonts w:ascii="Times New Roman" w:hAnsi="Times New Roman" w:eastAsia="仿宋"/>
                <w:b/>
                <w:sz w:val="21"/>
                <w:szCs w:val="21"/>
              </w:rPr>
              <w:t>序号</w:t>
            </w:r>
          </w:p>
        </w:tc>
        <w:tc>
          <w:tcPr>
            <w:tcW w:w="2846" w:type="dxa"/>
            <w:vMerge w:val="restart"/>
            <w:vAlign w:val="center"/>
          </w:tcPr>
          <w:p>
            <w:pPr>
              <w:pStyle w:val="16"/>
              <w:widowControl w:val="0"/>
              <w:spacing w:beforeAutospacing="0" w:afterAutospacing="0"/>
              <w:jc w:val="center"/>
              <w:rPr>
                <w:rFonts w:ascii="Times New Roman" w:hAnsi="Times New Roman" w:eastAsia="仿宋"/>
                <w:b/>
                <w:sz w:val="21"/>
                <w:szCs w:val="21"/>
              </w:rPr>
            </w:pPr>
            <w:r>
              <w:rPr>
                <w:rFonts w:ascii="Times New Roman" w:hAnsi="Times New Roman" w:eastAsia="仿宋"/>
                <w:b/>
                <w:sz w:val="21"/>
                <w:szCs w:val="21"/>
              </w:rPr>
              <w:t>指标名称</w:t>
            </w:r>
          </w:p>
        </w:tc>
        <w:tc>
          <w:tcPr>
            <w:tcW w:w="2019" w:type="dxa"/>
            <w:gridSpan w:val="2"/>
            <w:vAlign w:val="center"/>
          </w:tcPr>
          <w:p>
            <w:pPr>
              <w:pStyle w:val="16"/>
              <w:widowControl w:val="0"/>
              <w:spacing w:beforeAutospacing="0" w:afterAutospacing="0"/>
              <w:jc w:val="center"/>
              <w:rPr>
                <w:rFonts w:ascii="Times New Roman" w:hAnsi="Times New Roman" w:eastAsia="仿宋"/>
                <w:b/>
                <w:sz w:val="21"/>
                <w:szCs w:val="21"/>
              </w:rPr>
            </w:pPr>
            <w:r>
              <w:rPr>
                <w:rFonts w:ascii="Times New Roman" w:hAnsi="Times New Roman" w:eastAsia="仿宋"/>
                <w:b/>
                <w:sz w:val="21"/>
                <w:szCs w:val="21"/>
              </w:rPr>
              <w:t>“十四五”规划目标</w:t>
            </w:r>
          </w:p>
        </w:tc>
        <w:tc>
          <w:tcPr>
            <w:tcW w:w="3057" w:type="dxa"/>
            <w:gridSpan w:val="3"/>
            <w:vAlign w:val="center"/>
          </w:tcPr>
          <w:p>
            <w:pPr>
              <w:pStyle w:val="16"/>
              <w:widowControl w:val="0"/>
              <w:spacing w:beforeAutospacing="0" w:afterAutospacing="0"/>
              <w:jc w:val="center"/>
              <w:rPr>
                <w:rFonts w:ascii="Times New Roman" w:hAnsi="Times New Roman" w:eastAsia="仿宋"/>
                <w:b/>
                <w:sz w:val="21"/>
                <w:szCs w:val="21"/>
              </w:rPr>
            </w:pPr>
            <w:r>
              <w:rPr>
                <w:rFonts w:ascii="Times New Roman" w:hAnsi="Times New Roman" w:eastAsia="仿宋"/>
                <w:b/>
                <w:sz w:val="21"/>
                <w:szCs w:val="21"/>
              </w:rPr>
              <w:t>“十四五”完成情况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b/>
                <w:sz w:val="21"/>
                <w:szCs w:val="21"/>
              </w:rPr>
            </w:pPr>
          </w:p>
        </w:tc>
        <w:tc>
          <w:tcPr>
            <w:tcW w:w="524" w:type="dxa"/>
            <w:vMerge w:val="continue"/>
            <w:vAlign w:val="center"/>
          </w:tcPr>
          <w:p>
            <w:pPr>
              <w:pStyle w:val="16"/>
              <w:widowControl w:val="0"/>
              <w:spacing w:beforeAutospacing="0" w:afterAutospacing="0"/>
              <w:jc w:val="center"/>
              <w:rPr>
                <w:rFonts w:ascii="Times New Roman" w:hAnsi="Times New Roman" w:eastAsia="仿宋"/>
                <w:b/>
                <w:sz w:val="21"/>
                <w:szCs w:val="21"/>
              </w:rPr>
            </w:pPr>
          </w:p>
        </w:tc>
        <w:tc>
          <w:tcPr>
            <w:tcW w:w="2846" w:type="dxa"/>
            <w:vMerge w:val="continue"/>
            <w:vAlign w:val="center"/>
          </w:tcPr>
          <w:p>
            <w:pPr>
              <w:pStyle w:val="16"/>
              <w:widowControl w:val="0"/>
              <w:spacing w:beforeAutospacing="0" w:afterAutospacing="0"/>
              <w:jc w:val="center"/>
              <w:rPr>
                <w:rFonts w:ascii="Times New Roman" w:hAnsi="Times New Roman" w:eastAsia="仿宋"/>
                <w:b/>
                <w:sz w:val="21"/>
                <w:szCs w:val="21"/>
              </w:rPr>
            </w:pPr>
          </w:p>
        </w:tc>
        <w:tc>
          <w:tcPr>
            <w:tcW w:w="831" w:type="dxa"/>
            <w:vAlign w:val="center"/>
          </w:tcPr>
          <w:p>
            <w:pPr>
              <w:pStyle w:val="16"/>
              <w:widowControl w:val="0"/>
              <w:spacing w:beforeAutospacing="0" w:afterAutospacing="0"/>
              <w:jc w:val="center"/>
              <w:rPr>
                <w:rFonts w:ascii="Times New Roman" w:hAnsi="Times New Roman" w:eastAsia="仿宋"/>
                <w:b/>
                <w:sz w:val="21"/>
                <w:szCs w:val="21"/>
              </w:rPr>
            </w:pPr>
            <w:r>
              <w:rPr>
                <w:rFonts w:ascii="Times New Roman" w:hAnsi="Times New Roman" w:eastAsia="仿宋"/>
                <w:b/>
                <w:sz w:val="21"/>
                <w:szCs w:val="21"/>
              </w:rPr>
              <w:t>2025年</w:t>
            </w:r>
          </w:p>
        </w:tc>
        <w:tc>
          <w:tcPr>
            <w:tcW w:w="1188" w:type="dxa"/>
            <w:vAlign w:val="center"/>
          </w:tcPr>
          <w:p>
            <w:pPr>
              <w:pStyle w:val="16"/>
              <w:widowControl w:val="0"/>
              <w:spacing w:beforeAutospacing="0" w:afterAutospacing="0"/>
              <w:jc w:val="center"/>
              <w:rPr>
                <w:rFonts w:ascii="Times New Roman" w:hAnsi="Times New Roman" w:eastAsia="仿宋"/>
                <w:b/>
                <w:sz w:val="21"/>
                <w:szCs w:val="21"/>
              </w:rPr>
            </w:pPr>
            <w:r>
              <w:rPr>
                <w:rFonts w:ascii="Times New Roman" w:hAnsi="Times New Roman" w:eastAsia="仿宋"/>
                <w:b/>
                <w:sz w:val="21"/>
                <w:szCs w:val="21"/>
              </w:rPr>
              <w:t>年均增速</w:t>
            </w:r>
          </w:p>
          <w:p>
            <w:pPr>
              <w:pStyle w:val="16"/>
              <w:widowControl w:val="0"/>
              <w:spacing w:beforeAutospacing="0" w:afterAutospacing="0"/>
              <w:jc w:val="center"/>
              <w:rPr>
                <w:rFonts w:ascii="Times New Roman" w:hAnsi="Times New Roman" w:eastAsia="仿宋"/>
                <w:b/>
                <w:sz w:val="21"/>
                <w:szCs w:val="21"/>
              </w:rPr>
            </w:pPr>
            <w:r>
              <w:rPr>
                <w:rFonts w:ascii="Times New Roman" w:hAnsi="Times New Roman" w:eastAsia="仿宋"/>
                <w:b/>
                <w:sz w:val="21"/>
                <w:szCs w:val="21"/>
              </w:rPr>
              <w:t>[累计]</w:t>
            </w:r>
          </w:p>
        </w:tc>
        <w:tc>
          <w:tcPr>
            <w:tcW w:w="872" w:type="dxa"/>
            <w:vAlign w:val="center"/>
          </w:tcPr>
          <w:p>
            <w:pPr>
              <w:pStyle w:val="16"/>
              <w:widowControl w:val="0"/>
              <w:spacing w:beforeAutospacing="0" w:afterAutospacing="0"/>
              <w:jc w:val="center"/>
              <w:rPr>
                <w:rFonts w:ascii="Times New Roman" w:hAnsi="Times New Roman" w:eastAsia="仿宋"/>
                <w:b/>
                <w:sz w:val="21"/>
                <w:szCs w:val="21"/>
              </w:rPr>
            </w:pPr>
            <w:r>
              <w:rPr>
                <w:rFonts w:ascii="Times New Roman" w:hAnsi="Times New Roman" w:eastAsia="仿宋"/>
                <w:b/>
                <w:sz w:val="21"/>
                <w:szCs w:val="21"/>
              </w:rPr>
              <w:t>2024年</w:t>
            </w:r>
          </w:p>
        </w:tc>
        <w:tc>
          <w:tcPr>
            <w:tcW w:w="1165" w:type="dxa"/>
            <w:vAlign w:val="center"/>
          </w:tcPr>
          <w:p>
            <w:pPr>
              <w:pStyle w:val="16"/>
              <w:widowControl w:val="0"/>
              <w:spacing w:beforeAutospacing="0" w:afterAutospacing="0"/>
              <w:jc w:val="center"/>
              <w:rPr>
                <w:rFonts w:ascii="Times New Roman" w:hAnsi="Times New Roman" w:eastAsia="仿宋"/>
                <w:b/>
                <w:sz w:val="21"/>
                <w:szCs w:val="21"/>
              </w:rPr>
            </w:pPr>
            <w:r>
              <w:rPr>
                <w:rFonts w:ascii="Times New Roman" w:hAnsi="Times New Roman" w:eastAsia="仿宋"/>
                <w:b/>
                <w:sz w:val="21"/>
                <w:szCs w:val="21"/>
              </w:rPr>
              <w:t>年均增速</w:t>
            </w:r>
          </w:p>
          <w:p>
            <w:pPr>
              <w:pStyle w:val="16"/>
              <w:widowControl w:val="0"/>
              <w:spacing w:beforeAutospacing="0" w:afterAutospacing="0"/>
              <w:jc w:val="center"/>
              <w:rPr>
                <w:rFonts w:ascii="Times New Roman" w:hAnsi="Times New Roman" w:eastAsia="仿宋"/>
                <w:b/>
                <w:sz w:val="21"/>
                <w:szCs w:val="21"/>
              </w:rPr>
            </w:pPr>
            <w:r>
              <w:rPr>
                <w:rFonts w:ascii="Times New Roman" w:hAnsi="Times New Roman" w:eastAsia="仿宋"/>
                <w:b/>
                <w:sz w:val="21"/>
                <w:szCs w:val="21"/>
              </w:rPr>
              <w:t>[累计]</w:t>
            </w:r>
          </w:p>
        </w:tc>
        <w:tc>
          <w:tcPr>
            <w:tcW w:w="1020" w:type="dxa"/>
            <w:vAlign w:val="center"/>
          </w:tcPr>
          <w:p>
            <w:pPr>
              <w:pStyle w:val="16"/>
              <w:widowControl w:val="0"/>
              <w:spacing w:beforeAutospacing="0" w:afterAutospacing="0"/>
              <w:jc w:val="center"/>
              <w:rPr>
                <w:rFonts w:ascii="Times New Roman" w:hAnsi="Times New Roman" w:eastAsia="仿宋"/>
                <w:b/>
                <w:sz w:val="21"/>
                <w:szCs w:val="21"/>
              </w:rPr>
            </w:pPr>
            <w:r>
              <w:rPr>
                <w:rFonts w:ascii="Times New Roman" w:hAnsi="Times New Roman" w:eastAsia="仿宋"/>
                <w:b/>
                <w:sz w:val="21"/>
                <w:szCs w:val="21"/>
              </w:rPr>
              <w:t>预计完成情况</w:t>
            </w:r>
          </w:p>
        </w:tc>
      </w:tr>
      <w:bookmarkEnd w:id="8"/>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restart"/>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经济发展</w:t>
            </w: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地区生产总值增长（%）</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7以上</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6.5</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7.1%</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已完成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bookmarkStart w:id="9" w:name="_Hlk208940752"/>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2</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10" w:name="OLE_LINK103"/>
            <w:r>
              <w:rPr>
                <w:rFonts w:ascii="Times New Roman" w:hAnsi="Times New Roman" w:eastAsia="仿宋"/>
                <w:sz w:val="21"/>
                <w:szCs w:val="21"/>
              </w:rPr>
              <w:t>全员劳动生产率（万元/人）</w:t>
            </w:r>
            <w:bookmarkEnd w:id="10"/>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完成省下达任务</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9.68</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完成省下达任务</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已完成</w:t>
            </w:r>
          </w:p>
        </w:tc>
      </w:tr>
      <w:bookmarkEnd w:id="9"/>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3</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11" w:name="OLE_LINK106"/>
            <w:r>
              <w:rPr>
                <w:rFonts w:ascii="Times New Roman" w:hAnsi="Times New Roman" w:eastAsia="仿宋"/>
                <w:sz w:val="21"/>
                <w:szCs w:val="21"/>
              </w:rPr>
              <w:t>制造业增加值占地区生产总值比重</w:t>
            </w:r>
            <w:bookmarkEnd w:id="11"/>
            <w:r>
              <w:rPr>
                <w:rFonts w:ascii="Times New Roman" w:hAnsi="Times New Roman" w:eastAsia="仿宋"/>
                <w:sz w:val="21"/>
                <w:szCs w:val="21"/>
              </w:rPr>
              <w:t>（%）</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30</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22.8</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[1.5]</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较难完成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4</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12" w:name="OLE_LINK125"/>
            <w:r>
              <w:rPr>
                <w:rFonts w:ascii="Times New Roman" w:hAnsi="Times New Roman" w:eastAsia="仿宋"/>
                <w:sz w:val="21"/>
                <w:szCs w:val="21"/>
              </w:rPr>
              <w:t>产业投资占固定资产投资比重</w:t>
            </w:r>
            <w:bookmarkEnd w:id="12"/>
            <w:r>
              <w:rPr>
                <w:rFonts w:ascii="Times New Roman" w:hAnsi="Times New Roman" w:eastAsia="仿宋"/>
                <w:sz w:val="21"/>
                <w:szCs w:val="21"/>
              </w:rPr>
              <w:t>（%）</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63</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63</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[5]</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bookmarkStart w:id="13" w:name="OLE_LINK96"/>
            <w:r>
              <w:rPr>
                <w:rFonts w:ascii="Times New Roman" w:hAnsi="Times New Roman" w:eastAsia="仿宋"/>
                <w:sz w:val="21"/>
                <w:szCs w:val="21"/>
              </w:rPr>
              <w:t>已完成</w:t>
            </w:r>
            <w:bookmarkEnd w:id="13"/>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5</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14" w:name="OLE_LINK101"/>
            <w:r>
              <w:rPr>
                <w:rFonts w:ascii="Times New Roman" w:hAnsi="Times New Roman" w:eastAsia="仿宋"/>
                <w:sz w:val="21"/>
                <w:szCs w:val="21"/>
              </w:rPr>
              <w:t>最终消费支出对地区生产总值贡献率（%）</w:t>
            </w:r>
            <w:bookmarkEnd w:id="14"/>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bookmarkStart w:id="15" w:name="OLE_LINK95"/>
            <w:r>
              <w:rPr>
                <w:rFonts w:ascii="Times New Roman" w:hAnsi="Times New Roman" w:eastAsia="仿宋"/>
                <w:sz w:val="21"/>
                <w:szCs w:val="21"/>
              </w:rPr>
              <w:t>完成省下达任务</w:t>
            </w:r>
            <w:bookmarkEnd w:id="15"/>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62.3</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[4.2]</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已完成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6</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进出口总额（万美元）</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bookmarkStart w:id="16" w:name="OLE_LINK122"/>
            <w:r>
              <w:rPr>
                <w:rFonts w:ascii="Times New Roman" w:hAnsi="Times New Roman" w:eastAsia="仿宋"/>
                <w:sz w:val="21"/>
                <w:szCs w:val="21"/>
              </w:rPr>
              <w:t>164</w:t>
            </w:r>
            <w:bookmarkEnd w:id="16"/>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7020</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已完成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7</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常住人口城镇化率（%）</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55.25</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46.42</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[1.17]</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较难完成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restart"/>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创新驱动</w:t>
            </w: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8</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17" w:name="OLE_LINK119"/>
            <w:r>
              <w:rPr>
                <w:rFonts w:ascii="Times New Roman" w:hAnsi="Times New Roman" w:eastAsia="仿宋"/>
                <w:sz w:val="21"/>
                <w:szCs w:val="21"/>
              </w:rPr>
              <w:t>研发经费投入占GDP比重（%）</w:t>
            </w:r>
            <w:bookmarkEnd w:id="17"/>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3</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bookmarkStart w:id="18" w:name="OLE_LINK56"/>
            <w:r>
              <w:rPr>
                <w:rFonts w:ascii="Times New Roman" w:hAnsi="Times New Roman" w:eastAsia="仿宋"/>
                <w:sz w:val="21"/>
                <w:szCs w:val="21"/>
              </w:rPr>
              <w:t>3.</w:t>
            </w:r>
            <w:bookmarkEnd w:id="18"/>
            <w:r>
              <w:rPr>
                <w:rFonts w:ascii="Times New Roman" w:hAnsi="Times New Roman" w:eastAsia="仿宋"/>
                <w:sz w:val="21"/>
                <w:szCs w:val="21"/>
              </w:rPr>
              <w:t>36</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[1.06]</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bookmarkStart w:id="19" w:name="OLE_LINK97"/>
            <w:r>
              <w:rPr>
                <w:rFonts w:ascii="Times New Roman" w:hAnsi="Times New Roman" w:eastAsia="仿宋"/>
                <w:sz w:val="21"/>
                <w:szCs w:val="21"/>
              </w:rPr>
              <w:t>已完成</w:t>
            </w:r>
            <w:bookmarkEnd w:id="19"/>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9</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每万人口有效发明专利拥有量（件）</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1.5</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bookmarkStart w:id="20" w:name="OLE_LINK57"/>
            <w:r>
              <w:rPr>
                <w:rFonts w:ascii="Times New Roman" w:hAnsi="Times New Roman" w:eastAsia="仿宋"/>
                <w:sz w:val="21"/>
                <w:szCs w:val="21"/>
              </w:rPr>
              <w:t>2.7</w:t>
            </w:r>
            <w:bookmarkEnd w:id="20"/>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21.1%</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bookmarkStart w:id="21" w:name="OLE_LINK98"/>
            <w:r>
              <w:rPr>
                <w:rFonts w:ascii="Times New Roman" w:hAnsi="Times New Roman" w:eastAsia="仿宋"/>
                <w:sz w:val="21"/>
                <w:szCs w:val="21"/>
              </w:rPr>
              <w:t>已完成</w:t>
            </w:r>
            <w:bookmarkEnd w:id="21"/>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10</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22" w:name="OLE_LINK123"/>
            <w:bookmarkStart w:id="23" w:name="OLE_LINK120"/>
            <w:r>
              <w:rPr>
                <w:rFonts w:ascii="Times New Roman" w:hAnsi="Times New Roman" w:eastAsia="仿宋"/>
                <w:sz w:val="21"/>
                <w:szCs w:val="21"/>
              </w:rPr>
              <w:t>数字经济增加值</w:t>
            </w:r>
            <w:bookmarkEnd w:id="22"/>
            <w:r>
              <w:rPr>
                <w:rFonts w:ascii="Times New Roman" w:hAnsi="Times New Roman" w:eastAsia="仿宋"/>
                <w:sz w:val="21"/>
                <w:szCs w:val="21"/>
              </w:rPr>
              <w:t>占地区生产总值比例（%）</w:t>
            </w:r>
            <w:bookmarkEnd w:id="23"/>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11</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13</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已完成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restart"/>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民生福祉</w:t>
            </w: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11</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24" w:name="OLE_LINK108"/>
            <w:bookmarkStart w:id="25" w:name="OLE_LINK115"/>
            <w:r>
              <w:rPr>
                <w:rFonts w:ascii="Times New Roman" w:hAnsi="Times New Roman" w:eastAsia="仿宋"/>
                <w:sz w:val="21"/>
                <w:szCs w:val="21"/>
              </w:rPr>
              <w:t>城镇居民人均可支配收入</w:t>
            </w:r>
            <w:bookmarkEnd w:id="24"/>
            <w:r>
              <w:rPr>
                <w:rFonts w:ascii="Times New Roman" w:hAnsi="Times New Roman" w:eastAsia="仿宋"/>
                <w:sz w:val="21"/>
                <w:szCs w:val="21"/>
              </w:rPr>
              <w:t>（元）</w:t>
            </w:r>
            <w:bookmarkEnd w:id="25"/>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33779</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highlight w:val="yellow"/>
              </w:rPr>
            </w:pPr>
            <w:bookmarkStart w:id="26" w:name="OLE_LINK118"/>
            <w:r>
              <w:rPr>
                <w:rFonts w:ascii="Times New Roman" w:hAnsi="Times New Roman" w:eastAsia="仿宋"/>
                <w:sz w:val="21"/>
                <w:szCs w:val="21"/>
              </w:rPr>
              <w:t>30370</w:t>
            </w:r>
            <w:bookmarkEnd w:id="26"/>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6%</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基本完成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12</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农村居民人均可支配收入（元）</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16501</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14759</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8.3%</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较难完成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13</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城镇调查失业率（%）</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5.5以内</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5.2</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bookmarkStart w:id="27" w:name="OLE_LINK105"/>
            <w:r>
              <w:rPr>
                <w:rFonts w:ascii="Times New Roman" w:hAnsi="Times New Roman" w:eastAsia="仿宋"/>
                <w:sz w:val="21"/>
                <w:szCs w:val="21"/>
              </w:rPr>
              <w:t>已完成</w:t>
            </w:r>
            <w:bookmarkEnd w:id="27"/>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14</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劳动年龄人口平均受教育年限（年）</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13</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11.5</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[0.33]</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较难完成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15</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28" w:name="OLE_LINK104"/>
            <w:r>
              <w:rPr>
                <w:rFonts w:ascii="Times New Roman" w:hAnsi="Times New Roman" w:eastAsia="仿宋"/>
                <w:sz w:val="21"/>
                <w:szCs w:val="21"/>
              </w:rPr>
              <w:t>每千人口拥有执业（助理）医师数（人）</w:t>
            </w:r>
            <w:bookmarkEnd w:id="28"/>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3</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3.11</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已完成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16</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29" w:name="OLE_LINK117"/>
            <w:r>
              <w:rPr>
                <w:rFonts w:ascii="Times New Roman" w:hAnsi="Times New Roman" w:eastAsia="仿宋"/>
                <w:sz w:val="21"/>
                <w:szCs w:val="21"/>
              </w:rPr>
              <w:t>基本养老保险参保率</w:t>
            </w:r>
            <w:bookmarkEnd w:id="29"/>
            <w:r>
              <w:rPr>
                <w:rFonts w:ascii="Times New Roman" w:hAnsi="Times New Roman" w:eastAsia="仿宋"/>
                <w:sz w:val="21"/>
                <w:szCs w:val="21"/>
              </w:rPr>
              <w:t>（%）</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100</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98.7</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[3.4]</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基本完成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17</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每千人口拥有三岁以下婴幼儿托位数（个）</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完成省下达任务</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1.8</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已完成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bookmarkStart w:id="30" w:name="_Hlk213432380"/>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18</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31" w:name="OLE_LINK102"/>
            <w:r>
              <w:rPr>
                <w:rFonts w:ascii="Times New Roman" w:hAnsi="Times New Roman" w:eastAsia="仿宋"/>
                <w:sz w:val="21"/>
                <w:szCs w:val="21"/>
              </w:rPr>
              <w:t>人均预期寿命（岁）</w:t>
            </w:r>
            <w:bookmarkEnd w:id="31"/>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77.46</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75</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较难完成</w:t>
            </w:r>
          </w:p>
        </w:tc>
      </w:tr>
      <w:bookmarkEnd w:id="30"/>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restart"/>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绿色转型</w:t>
            </w: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19</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单位地区生产总值能源消耗降幅（%）</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完成省下达任务</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bookmarkStart w:id="32" w:name="OLE_LINK9"/>
            <w:r>
              <w:rPr>
                <w:rFonts w:ascii="Times New Roman" w:hAnsi="Times New Roman" w:eastAsia="仿宋"/>
                <w:sz w:val="21"/>
                <w:szCs w:val="21"/>
              </w:rPr>
              <w:t>≥25</w:t>
            </w:r>
            <w:bookmarkEnd w:id="32"/>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完成省下达任务</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已完成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20</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单位地区生产总值二氧化碳排放降幅（%）</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完成省下达任务</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完成省下达任务</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已完成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21</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33" w:name="OLE_LINK32"/>
            <w:r>
              <w:rPr>
                <w:rFonts w:ascii="Times New Roman" w:hAnsi="Times New Roman" w:eastAsia="仿宋"/>
                <w:sz w:val="21"/>
                <w:szCs w:val="21"/>
              </w:rPr>
              <w:t>城市空气质量优良天数比例（%）</w:t>
            </w:r>
            <w:bookmarkEnd w:id="33"/>
          </w:p>
        </w:tc>
        <w:tc>
          <w:tcPr>
            <w:tcW w:w="831" w:type="dxa"/>
            <w:vAlign w:val="center"/>
          </w:tcPr>
          <w:p>
            <w:pPr>
              <w:pStyle w:val="16"/>
              <w:widowControl w:val="0"/>
              <w:spacing w:beforeAutospacing="0" w:afterAutospacing="0"/>
              <w:jc w:val="center"/>
              <w:rPr>
                <w:rFonts w:ascii="Times New Roman" w:hAnsi="Times New Roman" w:eastAsia="仿宋"/>
                <w:sz w:val="21"/>
                <w:szCs w:val="21"/>
              </w:rPr>
            </w:pPr>
            <w:bookmarkStart w:id="34" w:name="OLE_LINK64"/>
            <w:bookmarkStart w:id="35" w:name="OLE_LINK45"/>
            <w:r>
              <w:rPr>
                <w:rFonts w:ascii="Times New Roman" w:hAnsi="Times New Roman" w:eastAsia="仿宋"/>
                <w:sz w:val="21"/>
                <w:szCs w:val="21"/>
              </w:rPr>
              <w:t>≥</w:t>
            </w:r>
            <w:bookmarkEnd w:id="34"/>
            <w:r>
              <w:rPr>
                <w:rFonts w:ascii="Times New Roman" w:hAnsi="Times New Roman" w:eastAsia="仿宋"/>
                <w:sz w:val="21"/>
                <w:szCs w:val="21"/>
              </w:rPr>
              <w:t>95</w:t>
            </w:r>
            <w:bookmarkEnd w:id="35"/>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98</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已完成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22</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地表水达到或优于Ⅲ类水体比例（%）</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100</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100</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bookmarkStart w:id="36" w:name="OLE_LINK124"/>
            <w:r>
              <w:rPr>
                <w:rFonts w:ascii="Times New Roman" w:hAnsi="Times New Roman" w:eastAsia="仿宋"/>
                <w:sz w:val="21"/>
                <w:szCs w:val="21"/>
              </w:rPr>
              <w:t>已完成</w:t>
            </w:r>
            <w:bookmarkEnd w:id="36"/>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23</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37" w:name="OLE_LINK114"/>
            <w:r>
              <w:rPr>
                <w:rFonts w:ascii="Times New Roman" w:hAnsi="Times New Roman" w:eastAsia="仿宋"/>
                <w:sz w:val="21"/>
                <w:szCs w:val="21"/>
              </w:rPr>
              <w:t>森林覆盖率</w:t>
            </w:r>
            <w:bookmarkEnd w:id="37"/>
            <w:r>
              <w:rPr>
                <w:rFonts w:ascii="Times New Roman" w:hAnsi="Times New Roman" w:eastAsia="仿宋"/>
                <w:sz w:val="21"/>
                <w:szCs w:val="21"/>
              </w:rPr>
              <w:t>（%）</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≥73</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70.41</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[0.25]</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较难完成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582" w:type="dxa"/>
            <w:vMerge w:val="restart"/>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安全保障</w:t>
            </w:r>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24</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38" w:name="OLE_LINK113"/>
            <w:bookmarkStart w:id="39" w:name="OLE_LINK110"/>
            <w:r>
              <w:rPr>
                <w:rFonts w:ascii="Times New Roman" w:hAnsi="Times New Roman" w:eastAsia="仿宋"/>
                <w:sz w:val="21"/>
                <w:szCs w:val="21"/>
              </w:rPr>
              <w:t>粮食综合生产能力</w:t>
            </w:r>
            <w:bookmarkEnd w:id="38"/>
            <w:r>
              <w:rPr>
                <w:rFonts w:ascii="Times New Roman" w:hAnsi="Times New Roman" w:eastAsia="仿宋"/>
                <w:sz w:val="21"/>
                <w:szCs w:val="21"/>
              </w:rPr>
              <w:t>（亿斤）</w:t>
            </w:r>
            <w:bookmarkEnd w:id="39"/>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1.68</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[0.04]</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bookmarkStart w:id="40" w:name="OLE_LINK112"/>
            <w:r>
              <w:rPr>
                <w:rFonts w:ascii="Times New Roman" w:hAnsi="Times New Roman" w:eastAsia="仿宋"/>
                <w:sz w:val="21"/>
                <w:szCs w:val="21"/>
              </w:rPr>
              <w:t>1.65</w:t>
            </w:r>
            <w:bookmarkEnd w:id="40"/>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[0.01]</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基本完成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582" w:type="dxa"/>
            <w:vMerge w:val="continue"/>
            <w:vAlign w:val="center"/>
          </w:tcPr>
          <w:p>
            <w:pPr>
              <w:pStyle w:val="16"/>
              <w:widowControl w:val="0"/>
              <w:spacing w:beforeAutospacing="0" w:afterAutospacing="0"/>
              <w:jc w:val="center"/>
              <w:rPr>
                <w:rFonts w:ascii="Times New Roman" w:hAnsi="Times New Roman" w:eastAsia="仿宋"/>
                <w:sz w:val="21"/>
                <w:szCs w:val="21"/>
              </w:rPr>
            </w:pPr>
            <w:bookmarkStart w:id="41" w:name="_Hlk213653440"/>
          </w:p>
        </w:tc>
        <w:tc>
          <w:tcPr>
            <w:tcW w:w="524"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25</w:t>
            </w:r>
          </w:p>
        </w:tc>
        <w:tc>
          <w:tcPr>
            <w:tcW w:w="2846" w:type="dxa"/>
            <w:vAlign w:val="center"/>
          </w:tcPr>
          <w:p>
            <w:pPr>
              <w:pStyle w:val="16"/>
              <w:widowControl w:val="0"/>
              <w:spacing w:beforeAutospacing="0" w:afterAutospacing="0"/>
              <w:jc w:val="center"/>
              <w:rPr>
                <w:rFonts w:ascii="Times New Roman" w:hAnsi="Times New Roman" w:eastAsia="仿宋"/>
                <w:sz w:val="21"/>
                <w:szCs w:val="21"/>
              </w:rPr>
            </w:pPr>
            <w:bookmarkStart w:id="42" w:name="OLE_LINK116"/>
            <w:r>
              <w:rPr>
                <w:rFonts w:ascii="Times New Roman" w:hAnsi="Times New Roman" w:eastAsia="仿宋"/>
                <w:sz w:val="21"/>
                <w:szCs w:val="21"/>
              </w:rPr>
              <w:t>亿元GDP生产安全事故死亡率</w:t>
            </w:r>
            <w:bookmarkEnd w:id="42"/>
            <w:r>
              <w:rPr>
                <w:rFonts w:ascii="Times New Roman" w:hAnsi="Times New Roman" w:eastAsia="仿宋"/>
                <w:sz w:val="21"/>
                <w:szCs w:val="21"/>
              </w:rPr>
              <w:t>（%）</w:t>
            </w:r>
          </w:p>
        </w:tc>
        <w:tc>
          <w:tcPr>
            <w:tcW w:w="831"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188"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[-50]</w:t>
            </w:r>
          </w:p>
        </w:tc>
        <w:tc>
          <w:tcPr>
            <w:tcW w:w="872"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0.051</w:t>
            </w:r>
          </w:p>
        </w:tc>
        <w:tc>
          <w:tcPr>
            <w:tcW w:w="1165"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w:t>
            </w:r>
          </w:p>
        </w:tc>
        <w:tc>
          <w:tcPr>
            <w:tcW w:w="1020" w:type="dxa"/>
            <w:vAlign w:val="center"/>
          </w:tcPr>
          <w:p>
            <w:pPr>
              <w:pStyle w:val="16"/>
              <w:widowControl w:val="0"/>
              <w:spacing w:beforeAutospacing="0" w:afterAutospacing="0"/>
              <w:jc w:val="center"/>
              <w:rPr>
                <w:rFonts w:ascii="Times New Roman" w:hAnsi="Times New Roman" w:eastAsia="仿宋"/>
                <w:sz w:val="21"/>
                <w:szCs w:val="21"/>
              </w:rPr>
            </w:pPr>
            <w:r>
              <w:rPr>
                <w:rFonts w:ascii="Times New Roman" w:hAnsi="Times New Roman" w:eastAsia="仿宋"/>
                <w:sz w:val="21"/>
                <w:szCs w:val="21"/>
              </w:rPr>
              <w:t>已完成</w:t>
            </w:r>
          </w:p>
        </w:tc>
      </w:tr>
      <w:bookmarkEnd w:id="5"/>
      <w:bookmarkEnd w:id="6"/>
      <w:bookmarkEnd w:id="7"/>
      <w:bookmarkEnd w:id="41"/>
    </w:tbl>
    <w:p>
      <w:pPr>
        <w:pStyle w:val="29"/>
        <w:numPr>
          <w:ilvl w:val="0"/>
          <w:numId w:val="2"/>
        </w:numPr>
        <w:rPr>
          <w:rFonts w:ascii="Times New Roman" w:hAnsi="Times New Roman" w:cs="Times New Roman"/>
          <w:lang w:val="en-GB"/>
        </w:rPr>
      </w:pPr>
      <w:bookmarkStart w:id="43" w:name="_Toc216945804"/>
      <w:r>
        <w:rPr>
          <w:rFonts w:ascii="Times New Roman" w:hAnsi="Times New Roman" w:cs="Times New Roman"/>
          <w:lang w:val="en-GB"/>
        </w:rPr>
        <w:t>发展环境</w:t>
      </w:r>
      <w:bookmarkEnd w:id="43"/>
    </w:p>
    <w:p>
      <w:pPr>
        <w:pStyle w:val="25"/>
        <w:ind w:firstLine="600"/>
        <w:rPr>
          <w:rFonts w:ascii="Times New Roman" w:hAnsi="Times New Roman" w:cs="Times New Roman"/>
        </w:rPr>
      </w:pPr>
      <w:r>
        <w:rPr>
          <w:rFonts w:ascii="Times New Roman" w:hAnsi="Times New Roman" w:cs="Times New Roman"/>
        </w:rPr>
        <w:t>当前和今后一个时期，世情、国情、省情、市情、县情发生深刻变化，经济社会发展呈现出新的阶段性特征，新晃面临的机遇与挑战出现新的特点。</w:t>
      </w:r>
    </w:p>
    <w:p>
      <w:pPr>
        <w:pStyle w:val="25"/>
        <w:ind w:firstLine="602"/>
        <w:rPr>
          <w:rFonts w:ascii="Times New Roman" w:hAnsi="Times New Roman" w:cs="Times New Roman"/>
        </w:rPr>
      </w:pPr>
      <w:r>
        <w:rPr>
          <w:rFonts w:ascii="Times New Roman" w:hAnsi="Times New Roman" w:eastAsia="楷体" w:cs="Times New Roman"/>
          <w:b/>
          <w:bCs/>
        </w:rPr>
        <w:t>处于世界动荡变革期。</w:t>
      </w:r>
      <w:r>
        <w:rPr>
          <w:rFonts w:ascii="Times New Roman" w:hAnsi="Times New Roman" w:cs="Times New Roman"/>
        </w:rPr>
        <w:t>世界百年未有之大变局全方位深层次加速演进，国际政治经济格局正在经历大调整、大分化、大重组，不确定、不稳定、难预料因素明显增多，我国外部环境更加复杂多变。全球争夺科技制高点的竞争日趋激烈，地缘政治冲突加剧、中美战略竞争长期化、贸易保护和供应链脱钩等多重不利因素，正搅动着全球经济实力与政治经济版图的重构，全球产业链、供应链遭受冲击，给世界经济复苏带来巨大压力。新晃作为对接西部陆海新通道的“桥头堡”，在扩大开放、吸引外资方面面临诸多新的压力和挑战。</w:t>
      </w:r>
    </w:p>
    <w:p>
      <w:pPr>
        <w:pStyle w:val="25"/>
        <w:ind w:firstLine="602"/>
        <w:rPr>
          <w:rFonts w:ascii="Times New Roman" w:hAnsi="Times New Roman" w:eastAsia="楷体" w:cs="Times New Roman"/>
          <w:b/>
          <w:bCs/>
        </w:rPr>
      </w:pPr>
      <w:r>
        <w:rPr>
          <w:rFonts w:ascii="Times New Roman" w:hAnsi="Times New Roman" w:eastAsia="楷体" w:cs="Times New Roman"/>
          <w:b/>
          <w:bCs/>
        </w:rPr>
        <w:t>处于结构调整深化期。</w:t>
      </w:r>
      <w:r>
        <w:rPr>
          <w:rFonts w:ascii="Times New Roman" w:hAnsi="Times New Roman" w:cs="Times New Roman"/>
        </w:rPr>
        <w:t>当前，我国经济已由高速增长阶段转向高质量发展阶段，正处于转变发展方式、优化经济结构、转换增长动力的关键期。房地产市场下行，土地财政难以为继，地方政府债务杠杆率高企，经济结构和财政收支矛盾日益突出。传统支柱产业转型需求迫切，但数字经济等新兴产业尚未完全弥补传统产业衰退带来的影响。老龄化、少子化程度不断加深，劳动力成本优势大幅减弱。新晃作为欠发达地区，基本建设投入、民生需求和产业转型压力较大，面临“既要补短板、又要攀高线”的发展挑战。</w:t>
      </w:r>
    </w:p>
    <w:p>
      <w:pPr>
        <w:pStyle w:val="25"/>
        <w:ind w:firstLine="602"/>
        <w:rPr>
          <w:rFonts w:ascii="Times New Roman" w:hAnsi="Times New Roman" w:cs="Times New Roman"/>
        </w:rPr>
      </w:pPr>
      <w:r>
        <w:rPr>
          <w:rFonts w:ascii="Times New Roman" w:hAnsi="Times New Roman" w:eastAsia="楷体" w:cs="Times New Roman"/>
          <w:b/>
          <w:bCs/>
        </w:rPr>
        <w:t>处于产业发展新周期。</w:t>
      </w:r>
      <w:r>
        <w:rPr>
          <w:rFonts w:ascii="Times New Roman" w:hAnsi="Times New Roman" w:cs="Times New Roman"/>
        </w:rPr>
        <w:t>以人工智能、5G、北斗应用等为代表的新一轮技术革命蓬勃发展，引发新一轮产业革命和产品迭代；新兴技术的广泛应用，推动了传统产业的转型升级，催生了大量新产业、新业态、新模式；经济双循环发展格局的构建和扩大内需战略的实施，为低空经济、银发经济、大健康等新兴产业的发展提供了广阔空间。在我国新一轮科技革命和产业变革的关键时期，新晃县有望依托矿产、生态等资源禀赋，凭借区位优势，通过承接技术溢出和产业转移，利用国家“东数西算”“新基建”等政策倾斜，弥补技术短板，引入AI技术优化工业流程，加速构建“科技+产业”协同发展的现代化经济体系，实现“后发赶超”。</w:t>
      </w:r>
    </w:p>
    <w:p>
      <w:pPr>
        <w:pStyle w:val="25"/>
        <w:ind w:firstLine="602"/>
        <w:rPr>
          <w:rFonts w:ascii="Times New Roman" w:hAnsi="Times New Roman" w:cs="Times New Roman"/>
        </w:rPr>
      </w:pPr>
      <w:r>
        <w:rPr>
          <w:rFonts w:ascii="Times New Roman" w:hAnsi="Times New Roman" w:eastAsia="楷体" w:cs="Times New Roman"/>
          <w:b/>
          <w:bCs/>
        </w:rPr>
        <w:t>处于重大战略机遇期。</w:t>
      </w:r>
      <w:r>
        <w:rPr>
          <w:rFonts w:ascii="Times New Roman" w:hAnsi="Times New Roman" w:cs="Times New Roman"/>
        </w:rPr>
        <w:t>世界大变局、经济大循环、区域版图大洗牌，为新晃新时期高质量发展提供了机遇和条件。从中央层面看，双循环战略、乡村振兴战略、新型城镇化战略、新质生产力发展战略、数字中国战略等重大战略红利将进一步释放。从湖南层面看，我省是长江经济带发展、中部崛起等国家重大战略实施地区，是我国工业发展的重要省份，国家将进一步在新兴产业与开放网络建设上，给予对应资源、要素支持。从怀化层面看，“建设国际陆港城市”“五省边区区域中心城市”战略与新晃发展形成深度共振。新晃作为湘黔门户和西部陆海新通道的重要节点，在交通、资源、生态等方面具有独特优势，面临着国家宏观政策支持、区域协调发展红利释放以及省、市战略协同带来的多重战略机遇。</w:t>
      </w:r>
    </w:p>
    <w:p>
      <w:pPr>
        <w:pStyle w:val="25"/>
        <w:ind w:firstLine="602"/>
        <w:rPr>
          <w:rFonts w:ascii="Times New Roman" w:hAnsi="Times New Roman" w:cs="Times New Roman"/>
        </w:rPr>
      </w:pPr>
      <w:bookmarkStart w:id="44" w:name="OLE_LINK10"/>
      <w:r>
        <w:rPr>
          <w:rFonts w:ascii="Times New Roman" w:hAnsi="Times New Roman" w:eastAsia="楷体" w:cs="Times New Roman"/>
          <w:b/>
          <w:bCs/>
        </w:rPr>
        <w:t>处于发展潜力释放期。</w:t>
      </w:r>
      <w:bookmarkEnd w:id="44"/>
      <w:r>
        <w:rPr>
          <w:rFonts w:ascii="Times New Roman" w:hAnsi="Times New Roman" w:cs="Times New Roman"/>
        </w:rPr>
        <w:t>近年来，新晃坚持创新引领开放崛起，为“十五五”时期发展厚植了诸多比较优势。产业方面，省级化工园区顺利获批，大新协作稳步推进，现代产业体系初具雏形，为经济高质量发展提供了有力支撑。交通方面，G6512铜仁至天柱（新晃段）高速公路、沪昆高速新晃服务区流量经济综合体等项目有序推进，新晃的区位优势进一步彰显。发展格局方面，怀化国际陆港·新晃港获批成立，新晃海关服务站挂牌成立，大新公铁联运物流园启动建设，为融入双循环、扩大对外开放打造了优质平台。业态培育方面，发行全国乡村振兴首个县域数据产品“晃牛保”，获评全国县域数字经济发展示范县，通用机场获批与即将启动建设，为“十五五”业态创新奠定了基础。</w:t>
      </w:r>
    </w:p>
    <w:p>
      <w:pPr>
        <w:pStyle w:val="25"/>
        <w:ind w:firstLine="602"/>
        <w:rPr>
          <w:rFonts w:ascii="Times New Roman" w:hAnsi="Times New Roman" w:cs="Times New Roman"/>
        </w:rPr>
      </w:pPr>
      <w:bookmarkStart w:id="45" w:name="OLE_LINK3"/>
      <w:r>
        <w:rPr>
          <w:rFonts w:ascii="Times New Roman" w:hAnsi="Times New Roman" w:eastAsia="楷体" w:cs="Times New Roman"/>
          <w:b/>
          <w:bCs/>
        </w:rPr>
        <w:t>处于民生需求提质期。</w:t>
      </w:r>
      <w:bookmarkEnd w:id="45"/>
      <w:bookmarkStart w:id="46" w:name="OLE_LINK5"/>
      <w:r>
        <w:rPr>
          <w:rFonts w:ascii="Times New Roman" w:hAnsi="Times New Roman" w:cs="Times New Roman"/>
        </w:rPr>
        <w:t>随着社会主要矛盾的变化，人民群众需求将加快从温饱型、一般型向改善型、提质型升级，需要更加积极回应人民关切，更好解决人民群众普遍关心的就业、就学、就医、养老、住房、生态、社会治安、食品安全等方面问题，切实增强新晃人民的获得感、幸福感和安全感。同时，构建以国内大循环为主体、国内国际双循环相互促进的新发展格局，有效释放国内市场潜力，也需要改善消费环境、提供优质供给，推动消费从量的扩张向质的提升转变，来激发新晃本地的消费潜力。</w:t>
      </w:r>
    </w:p>
    <w:bookmarkEnd w:id="46"/>
    <w:p>
      <w:pPr>
        <w:pStyle w:val="29"/>
        <w:numPr>
          <w:ilvl w:val="0"/>
          <w:numId w:val="2"/>
        </w:numPr>
        <w:rPr>
          <w:rFonts w:ascii="Times New Roman" w:hAnsi="Times New Roman" w:cs="Times New Roman"/>
          <w:lang w:val="en-GB"/>
        </w:rPr>
      </w:pPr>
      <w:bookmarkStart w:id="47" w:name="_Toc216945805"/>
      <w:r>
        <w:rPr>
          <w:rFonts w:ascii="Times New Roman" w:hAnsi="Times New Roman" w:cs="Times New Roman"/>
          <w:lang w:val="en-GB"/>
        </w:rPr>
        <w:t>指导方针</w:t>
      </w:r>
      <w:bookmarkEnd w:id="47"/>
    </w:p>
    <w:p>
      <w:pPr>
        <w:pStyle w:val="25"/>
        <w:ind w:firstLine="602"/>
        <w:rPr>
          <w:rFonts w:ascii="Times New Roman" w:hAnsi="Times New Roman" w:cs="Times New Roman"/>
        </w:rPr>
      </w:pPr>
      <w:r>
        <w:rPr>
          <w:rFonts w:ascii="Times New Roman" w:hAnsi="Times New Roman" w:eastAsia="楷体" w:cs="Times New Roman"/>
          <w:b/>
          <w:bCs/>
          <w:lang w:val="en-GB"/>
        </w:rPr>
        <w:t>指导思想。</w:t>
      </w:r>
      <w:bookmarkStart w:id="48" w:name="_Hlk213696372"/>
      <w:r>
        <w:rPr>
          <w:rFonts w:ascii="Times New Roman" w:hAnsi="Times New Roman" w:cs="Times New Roman"/>
        </w:rPr>
        <w:t>坚持马克思列宁主义、毛泽东思想、邓小平理论、“三个代表”重要思想、科学发展观，全面贯彻习近平新时代中国特色社会主义思想，深入贯彻党的二十大和二十届历次全会精神，全面落实习近平总书记关于湖南工作的重要讲话和指示批示精神，统筹推进“五位一体”总体布局，协调推进“四个全面”战略布局，完整准确全面贯彻新发展理念，主动服务和融入新发展格局，坚持稳中求进工作总基调，以经济建设为中心，以铸牢中华民族共同体意识为主线，以推动高质量发展为主题，以改革创新为根本动力，以满足人民日益增长的美好生活需要为根本目的，以全面从严治党为根本保障，锚定“三高四新”美好蓝图，全面加快融入“五新四城”战略，奋力建设“一堡五高地”，以“开放赋能、产业兴县、和美侗乡”为发展主线，推动经济实现质的有效提升和量的合理增长，推动人的全面发展、全体人民共同富裕迈出坚实步伐，确保我县基本实现社会主义现代化取得决定性进展。</w:t>
      </w:r>
    </w:p>
    <w:bookmarkEnd w:id="48"/>
    <w:p>
      <w:pPr>
        <w:pStyle w:val="25"/>
        <w:ind w:firstLine="602"/>
        <w:rPr>
          <w:rFonts w:ascii="Times New Roman" w:hAnsi="Times New Roman" w:cs="Times New Roman"/>
        </w:rPr>
      </w:pPr>
      <w:bookmarkStart w:id="49" w:name="OLE_LINK59"/>
      <w:r>
        <w:rPr>
          <w:rFonts w:ascii="Times New Roman" w:hAnsi="Times New Roman" w:eastAsia="楷体" w:cs="Times New Roman"/>
          <w:b/>
          <w:bCs/>
          <w:lang w:val="en-GB"/>
        </w:rPr>
        <w:t>基本原则</w:t>
      </w:r>
      <w:bookmarkEnd w:id="49"/>
      <w:r>
        <w:rPr>
          <w:rFonts w:ascii="Times New Roman" w:hAnsi="Times New Roman" w:eastAsia="楷体" w:cs="Times New Roman"/>
          <w:b/>
          <w:bCs/>
          <w:lang w:val="en-GB"/>
        </w:rPr>
        <w:t>。</w:t>
      </w:r>
      <w:r>
        <w:rPr>
          <w:rFonts w:ascii="Times New Roman" w:hAnsi="Times New Roman" w:cs="Times New Roman"/>
        </w:rPr>
        <w:t>“十五五”时期新晃县经济社会发展必须把握以下原则：</w:t>
      </w:r>
    </w:p>
    <w:p>
      <w:pPr>
        <w:pStyle w:val="25"/>
        <w:ind w:firstLine="602"/>
        <w:rPr>
          <w:rFonts w:ascii="Times New Roman" w:hAnsi="Times New Roman" w:cs="Times New Roman"/>
        </w:rPr>
      </w:pPr>
      <w:r>
        <w:rPr>
          <w:rFonts w:ascii="Times New Roman" w:hAnsi="Times New Roman" w:cs="Times New Roman"/>
          <w:b/>
          <w:bCs/>
        </w:rPr>
        <w:t>——坚持党的全面领导。</w:t>
      </w:r>
      <w:r>
        <w:rPr>
          <w:rFonts w:ascii="Times New Roman" w:hAnsi="Times New Roman" w:cs="Times New Roman"/>
        </w:rPr>
        <w:t>坚持和加强党对经济社会发展的领导，不断提高贯彻新发展理念、构建新发展格局、推动高质量发展的能力和水平，进一步深刻领悟“两个确立”的决定性意义，切实增强“四个意识”、坚定“四个自信”、做到“两个维护”，确保现代化建设正确方向。</w:t>
      </w:r>
    </w:p>
    <w:p>
      <w:pPr>
        <w:pStyle w:val="25"/>
        <w:ind w:firstLine="602"/>
        <w:rPr>
          <w:rFonts w:ascii="Times New Roman" w:hAnsi="Times New Roman" w:cs="Times New Roman"/>
        </w:rPr>
      </w:pPr>
      <w:r>
        <w:rPr>
          <w:rFonts w:ascii="Times New Roman" w:hAnsi="Times New Roman" w:cs="Times New Roman"/>
          <w:b/>
          <w:bCs/>
        </w:rPr>
        <w:t>——坚持以人民为中心。</w:t>
      </w:r>
      <w:r>
        <w:rPr>
          <w:rFonts w:ascii="Times New Roman" w:hAnsi="Times New Roman" w:cs="Times New Roman"/>
        </w:rPr>
        <w:t>坚持人民主体地位，坚持共同富裕方向，维护人民根本利益，激发人民的积极性、主动性、创造性。促进社会公平，增进民生福祉，用心用情办好民生实事，不断提高人民生活水平，让现代化建设成果更多更公平惠及全体人民。</w:t>
      </w:r>
    </w:p>
    <w:p>
      <w:pPr>
        <w:pStyle w:val="25"/>
        <w:ind w:firstLine="602"/>
        <w:rPr>
          <w:rFonts w:ascii="Times New Roman" w:hAnsi="Times New Roman" w:cs="Times New Roman"/>
        </w:rPr>
      </w:pPr>
      <w:r>
        <w:rPr>
          <w:rFonts w:ascii="Times New Roman" w:hAnsi="Times New Roman" w:cs="Times New Roman"/>
          <w:b/>
          <w:bCs/>
        </w:rPr>
        <w:t>——坚持高质量发展。</w:t>
      </w:r>
      <w:r>
        <w:rPr>
          <w:rFonts w:ascii="Times New Roman" w:hAnsi="Times New Roman" w:cs="Times New Roman"/>
        </w:rPr>
        <w:t>破立并举、先立后破，因地制宜发展新质生产力，积极破解深层次结构性矛盾。创新驱动、协同并进，深入推动科产融合、数实融合、“两业融合”，构建具有新晃特色的现代化产业体系。坚持供需协同发力，持续做大经济总量规模，切实提高发展质效。</w:t>
      </w:r>
    </w:p>
    <w:p>
      <w:pPr>
        <w:pStyle w:val="25"/>
        <w:ind w:firstLine="602"/>
        <w:rPr>
          <w:rFonts w:ascii="Times New Roman" w:hAnsi="Times New Roman" w:cs="Times New Roman"/>
        </w:rPr>
      </w:pPr>
      <w:r>
        <w:rPr>
          <w:rFonts w:ascii="Times New Roman" w:hAnsi="Times New Roman" w:cs="Times New Roman"/>
          <w:b/>
          <w:bCs/>
        </w:rPr>
        <w:t>——坚持改革开放。</w:t>
      </w:r>
      <w:r>
        <w:rPr>
          <w:rFonts w:ascii="Times New Roman" w:hAnsi="Times New Roman" w:cs="Times New Roman"/>
        </w:rPr>
        <w:t>深入贯彻进一步全面深化改革各项部署，坚决破除制约现代化建设的体制机制障碍。主动服务和融入新发展格局，深度对接国家区域重大战略，深入推进高水平对外开放，持续激发发展动力活力。</w:t>
      </w:r>
    </w:p>
    <w:p>
      <w:pPr>
        <w:pStyle w:val="25"/>
        <w:ind w:firstLine="602"/>
        <w:rPr>
          <w:rFonts w:ascii="Times New Roman" w:hAnsi="Times New Roman" w:cs="Times New Roman"/>
        </w:rPr>
      </w:pPr>
      <w:r>
        <w:rPr>
          <w:rFonts w:ascii="Times New Roman" w:hAnsi="Times New Roman" w:cs="Times New Roman"/>
          <w:b/>
          <w:bCs/>
        </w:rPr>
        <w:t>——坚持有效市场和有为政府相结合。</w:t>
      </w:r>
      <w:r>
        <w:rPr>
          <w:rFonts w:ascii="Times New Roman" w:hAnsi="Times New Roman" w:cs="Times New Roman"/>
        </w:rPr>
        <w:t>充分发挥市场在资源配置中的决定性作用，大力激发各类市场主体活力。深化政府职能转变，强化法治思维，优化营商环境，形成“放得活”又“管得住”的经济秩序。</w:t>
      </w:r>
    </w:p>
    <w:p>
      <w:pPr>
        <w:pStyle w:val="25"/>
        <w:ind w:firstLine="602"/>
        <w:rPr>
          <w:rFonts w:ascii="Times New Roman" w:hAnsi="Times New Roman" w:cs="Times New Roman"/>
          <w:b/>
          <w:bCs/>
        </w:rPr>
      </w:pPr>
      <w:bookmarkStart w:id="50" w:name="_Hlk214197240"/>
      <w:r>
        <w:rPr>
          <w:rFonts w:ascii="Times New Roman" w:hAnsi="Times New Roman" w:cs="Times New Roman"/>
          <w:b/>
          <w:bCs/>
        </w:rPr>
        <w:t>——坚持统筹发展和安全。</w:t>
      </w:r>
      <w:r>
        <w:rPr>
          <w:rFonts w:ascii="Times New Roman" w:hAnsi="Times New Roman" w:cs="Times New Roman"/>
        </w:rPr>
        <w:t>切实将风险意识和安全理念贯穿经济社会发展全过程各领域，着力提升风险防控处置能力和本质安全水平，牢牢守住不发生系统性风险底线，全力维护经济社会发展大局平安稳定。</w:t>
      </w:r>
    </w:p>
    <w:bookmarkEnd w:id="50"/>
    <w:p>
      <w:pPr>
        <w:pStyle w:val="25"/>
        <w:ind w:firstLine="602"/>
        <w:rPr>
          <w:rFonts w:ascii="Times New Roman" w:hAnsi="Times New Roman" w:cs="Times New Roman"/>
          <w:lang w:val="en-GB"/>
        </w:rPr>
      </w:pPr>
      <w:r>
        <w:rPr>
          <w:rFonts w:ascii="Times New Roman" w:hAnsi="Times New Roman" w:eastAsia="楷体" w:cs="Times New Roman"/>
          <w:b/>
          <w:bCs/>
        </w:rPr>
        <w:t>发展定位。</w:t>
      </w:r>
      <w:bookmarkStart w:id="51" w:name="_Hlk209012719"/>
      <w:r>
        <w:rPr>
          <w:rFonts w:ascii="Times New Roman" w:hAnsi="Times New Roman" w:cs="Times New Roman"/>
        </w:rPr>
        <w:t>结合新晃实际，将国省市所需与新晃所需所能所盼相结合，全力打造</w:t>
      </w:r>
      <w:bookmarkStart w:id="52" w:name="OLE_LINK37"/>
      <w:r>
        <w:rPr>
          <w:rFonts w:ascii="Times New Roman" w:hAnsi="Times New Roman" w:cs="Times New Roman"/>
        </w:rPr>
        <w:t>“一堡五高地”。</w:t>
      </w:r>
    </w:p>
    <w:bookmarkEnd w:id="51"/>
    <w:bookmarkEnd w:id="52"/>
    <w:p>
      <w:pPr>
        <w:pStyle w:val="25"/>
        <w:ind w:firstLine="602"/>
        <w:rPr>
          <w:rFonts w:ascii="Times New Roman" w:hAnsi="Times New Roman" w:cs="Times New Roman"/>
        </w:rPr>
      </w:pPr>
      <w:bookmarkStart w:id="53" w:name="OLE_LINK209"/>
      <w:bookmarkStart w:id="54" w:name="OLE_LINK156"/>
      <w:r>
        <w:rPr>
          <w:rFonts w:ascii="Times New Roman" w:hAnsi="Times New Roman" w:cs="Times New Roman"/>
          <w:b/>
          <w:bCs/>
        </w:rPr>
        <w:t>一堡：对接西部陆海新通道战略桥头堡。</w:t>
      </w:r>
      <w:r>
        <w:rPr>
          <w:rFonts w:ascii="Times New Roman" w:hAnsi="Times New Roman" w:cs="Times New Roman"/>
        </w:rPr>
        <w:t>立足“双循环”新格局与RCEP深度合作机遇，强化新晃作为湘黔边界枢纽的“核心节点”功能，深度融入西部陆海新通道产业链供应链价值链。重点强化与长株潭城市群、湖南自由贸易试验区、成渝地区双城经济圈、粤港澳大湾区、北部湾经济区及东盟市场的战略协同与产业承接，深化与贵州相邻县市区的跨省合作。将新晃锻造为锚定湖南“三高四新”美好蓝图、支撑怀化西部陆海新通道“门户城市”建设、辐射引领湘黔边区域发展的“桥头堡”，实现“通道接口”向具有强大要素集聚力、产业承载力、区域辐射力的战略支点的能级跃升。</w:t>
      </w:r>
    </w:p>
    <w:bookmarkEnd w:id="53"/>
    <w:bookmarkEnd w:id="54"/>
    <w:p>
      <w:pPr>
        <w:pStyle w:val="25"/>
        <w:ind w:firstLine="602"/>
        <w:rPr>
          <w:rFonts w:ascii="Times New Roman" w:hAnsi="Times New Roman" w:cs="Times New Roman"/>
          <w:b/>
          <w:bCs/>
        </w:rPr>
      </w:pPr>
      <w:r>
        <w:rPr>
          <w:rFonts w:ascii="Times New Roman" w:hAnsi="Times New Roman" w:cs="Times New Roman"/>
          <w:b/>
          <w:bCs/>
        </w:rPr>
        <w:t>“五高地”：开放创新高地、产业振兴高地、流量经济高地、文旅康养高地、人文生态高地。</w:t>
      </w:r>
    </w:p>
    <w:p>
      <w:pPr>
        <w:pStyle w:val="25"/>
        <w:ind w:firstLine="602"/>
        <w:rPr>
          <w:rFonts w:ascii="Times New Roman" w:hAnsi="Times New Roman" w:cs="Times New Roman"/>
        </w:rPr>
      </w:pPr>
      <w:r>
        <w:rPr>
          <w:rFonts w:ascii="Times New Roman" w:hAnsi="Times New Roman" w:cs="Times New Roman"/>
          <w:b/>
          <w:bCs/>
        </w:rPr>
        <w:t>——开放创新高地。</w:t>
      </w:r>
      <w:r>
        <w:rPr>
          <w:rFonts w:ascii="Times New Roman" w:hAnsi="Times New Roman" w:cs="Times New Roman"/>
        </w:rPr>
        <w:t>强化制度型开放，在规则、规制、管理、标准等方面积极探索对接国际先进和区域协作需求，鼓励技术创新、模式创新、业态创新，以更高水平开放、更大力度创新和更深层次改革，塑造发展新动能新优势，将新晃建设成为改革先行、创新活跃、充满活力的内陆县域开放创新标杆。</w:t>
      </w:r>
    </w:p>
    <w:p>
      <w:pPr>
        <w:pStyle w:val="25"/>
        <w:ind w:firstLine="602"/>
        <w:rPr>
          <w:rFonts w:ascii="Times New Roman" w:hAnsi="Times New Roman" w:cs="Times New Roman"/>
        </w:rPr>
      </w:pPr>
      <w:r>
        <w:rPr>
          <w:rFonts w:ascii="Times New Roman" w:hAnsi="Times New Roman" w:cs="Times New Roman"/>
          <w:b/>
          <w:bCs/>
        </w:rPr>
        <w:t>——产业振兴高地。</w:t>
      </w:r>
      <w:r>
        <w:rPr>
          <w:rFonts w:ascii="Times New Roman" w:hAnsi="Times New Roman" w:cs="Times New Roman"/>
        </w:rPr>
        <w:t>围绕构建</w:t>
      </w:r>
      <w:r>
        <w:rPr>
          <w:rFonts w:ascii="Times New Roman" w:hAnsi="Times New Roman" w:cs="Times New Roman"/>
          <w:lang w:val="en-GB"/>
        </w:rPr>
        <w:t>以绿色矿业为主导、以中医药与生态食品为特色、以文旅康养为新增长极的“1+1+1”现代化产业体系，深挖“四色”产业潜力，</w:t>
      </w:r>
      <w:r>
        <w:rPr>
          <w:rFonts w:ascii="Times New Roman" w:hAnsi="Times New Roman" w:cs="Times New Roman"/>
        </w:rPr>
        <w:t>强化科技创新驱动与数字化转型，促进一二三产深度融合，打造特色产业集群和“专精特新”企业矩阵，将新晃建设成为湘黔边定位清晰精准、优势特色明显、发展前景较好的产业振兴高地。</w:t>
      </w:r>
    </w:p>
    <w:p>
      <w:pPr>
        <w:pStyle w:val="25"/>
        <w:ind w:firstLine="602"/>
        <w:rPr>
          <w:rFonts w:ascii="Times New Roman" w:hAnsi="Times New Roman" w:cs="Times New Roman"/>
        </w:rPr>
      </w:pPr>
      <w:bookmarkStart w:id="55" w:name="OLE_LINK52"/>
      <w:r>
        <w:rPr>
          <w:rFonts w:ascii="Times New Roman" w:hAnsi="Times New Roman" w:cs="Times New Roman"/>
          <w:b/>
          <w:bCs/>
        </w:rPr>
        <w:t>——流量经济高地。</w:t>
      </w:r>
      <w:r>
        <w:rPr>
          <w:rFonts w:ascii="Times New Roman" w:hAnsi="Times New Roman" w:cs="Times New Roman"/>
        </w:rPr>
        <w:t>构建“引得进、留得住、转得优、增得值”的高效流量经济生态系统，创新流量价值变现模式，提升流向精准性、流量规模与粘性、流效转化率，推动流量经济实现从“通道引流”向“价值创造”根本性转变，将新晃建设成为湘黔边要素高效流动、价值充分释放的流量经济高地。</w:t>
      </w:r>
    </w:p>
    <w:bookmarkEnd w:id="55"/>
    <w:p>
      <w:pPr>
        <w:pStyle w:val="25"/>
        <w:ind w:firstLine="602"/>
        <w:rPr>
          <w:rFonts w:ascii="Times New Roman" w:hAnsi="Times New Roman" w:cs="Times New Roman"/>
        </w:rPr>
      </w:pPr>
      <w:r>
        <w:rPr>
          <w:rFonts w:ascii="Times New Roman" w:hAnsi="Times New Roman" w:cs="Times New Roman"/>
          <w:b/>
          <w:bCs/>
        </w:rPr>
        <w:t>——文旅康养高地。</w:t>
      </w:r>
      <w:r>
        <w:rPr>
          <w:rFonts w:ascii="Times New Roman" w:hAnsi="Times New Roman" w:cs="Times New Roman"/>
        </w:rPr>
        <w:t>深度挖掘侗族文化底蕴与原生态资源禀赋，推动文化、生态、康养、旅游深度融合，构建“特色侗医药康养+侗族风情体验+原生态休闲”的多元化产品体系，形成</w:t>
      </w:r>
      <w:bookmarkStart w:id="56" w:name="_Hlk214949619"/>
      <w:r>
        <w:rPr>
          <w:rFonts w:ascii="Times New Roman" w:hAnsi="Times New Roman" w:cs="Times New Roman"/>
        </w:rPr>
        <w:t>“古韵悠然·康养新晃”</w:t>
      </w:r>
      <w:bookmarkEnd w:id="56"/>
      <w:r>
        <w:rPr>
          <w:rFonts w:ascii="Times New Roman" w:hAnsi="Times New Roman" w:cs="Times New Roman"/>
        </w:rPr>
        <w:t>的区域品牌格局，将新晃建设成为文化魅力彰显、生态环境优美、康养服务专业、生活品质优越的全国知名文旅生态康养高地。</w:t>
      </w:r>
    </w:p>
    <w:p>
      <w:pPr>
        <w:pStyle w:val="25"/>
        <w:ind w:firstLine="602"/>
        <w:rPr>
          <w:rFonts w:ascii="Times New Roman" w:hAnsi="Times New Roman" w:cs="Times New Roman"/>
        </w:rPr>
      </w:pPr>
      <w:r>
        <w:rPr>
          <w:rFonts w:ascii="Times New Roman" w:hAnsi="Times New Roman" w:cs="Times New Roman"/>
          <w:b/>
          <w:bCs/>
        </w:rPr>
        <w:t>——人文生态高地。</w:t>
      </w:r>
      <w:bookmarkStart w:id="57" w:name="OLE_LINK73"/>
      <w:r>
        <w:rPr>
          <w:rFonts w:ascii="Times New Roman" w:hAnsi="Times New Roman" w:cs="Times New Roman"/>
        </w:rPr>
        <w:t>坚持人与自然和谐共生、传统与现代交融互促，守护绿水青山本底，强化生态保护与治理，系统保护与活化利用侗族文化、红色文化、商贸文化等历史文脉，塑造“友善、包容、诚信、坚韧”的新时代新晃人文精神。推动人文与生态价值实现，将优良生态与特色文化融入城乡建设和产业发展，建设文化底蕴深厚、人文精神彰显、生态环境优美、人民生活幸福的人文生态高地。</w:t>
      </w:r>
    </w:p>
    <w:bookmarkEnd w:id="57"/>
    <w:p>
      <w:pPr>
        <w:pStyle w:val="29"/>
        <w:numPr>
          <w:ilvl w:val="0"/>
          <w:numId w:val="2"/>
        </w:numPr>
        <w:rPr>
          <w:rFonts w:ascii="Times New Roman" w:hAnsi="Times New Roman" w:cs="Times New Roman"/>
          <w:lang w:val="en-GB"/>
        </w:rPr>
      </w:pPr>
      <w:bookmarkStart w:id="58" w:name="_Toc216945806"/>
      <w:bookmarkStart w:id="59" w:name="OLE_LINK4"/>
      <w:r>
        <w:rPr>
          <w:rFonts w:ascii="Times New Roman" w:hAnsi="Times New Roman" w:cs="Times New Roman"/>
          <w:lang w:val="en-GB"/>
        </w:rPr>
        <w:t>主要目标</w:t>
      </w:r>
      <w:bookmarkEnd w:id="58"/>
    </w:p>
    <w:bookmarkEnd w:id="59"/>
    <w:p>
      <w:pPr>
        <w:pStyle w:val="25"/>
        <w:ind w:firstLine="600"/>
        <w:rPr>
          <w:rFonts w:ascii="Times New Roman" w:hAnsi="Times New Roman" w:cs="Times New Roman"/>
        </w:rPr>
      </w:pPr>
      <w:r>
        <w:rPr>
          <w:rFonts w:ascii="Times New Roman" w:hAnsi="Times New Roman" w:cs="Times New Roman"/>
        </w:rPr>
        <w:t>锚定2035年基本实现社会主义现代化的远景目标，综合考虑新晃发展环境和支撑条件变化，紧扣“一堡五高地”发展定位，确保“十五五”末建设现代化“开放新晃”“活力新晃”“幸福新晃”取得突破性进展。</w:t>
      </w:r>
    </w:p>
    <w:p>
      <w:pPr>
        <w:pStyle w:val="25"/>
        <w:ind w:firstLine="602"/>
        <w:rPr>
          <w:rFonts w:ascii="Times New Roman" w:hAnsi="Times New Roman" w:cs="Times New Roman"/>
        </w:rPr>
      </w:pPr>
      <w:bookmarkStart w:id="60" w:name="OLE_LINK41"/>
      <w:r>
        <w:rPr>
          <w:rFonts w:ascii="Times New Roman" w:hAnsi="Times New Roman" w:cs="Times New Roman"/>
          <w:b/>
          <w:bCs/>
        </w:rPr>
        <w:t>——开放发展格局实现新拓展。</w:t>
      </w:r>
      <w:r>
        <w:rPr>
          <w:rFonts w:ascii="Times New Roman" w:hAnsi="Times New Roman" w:cs="Times New Roman"/>
        </w:rPr>
        <w:t>深度融入西部陆海新通道，陆港枢纽功能全面增强，跨省协同机制更加成熟高效，要素集聚与区域辐射能力显著提升，建成湘黔边界区域双向开放的战略支点。</w:t>
      </w:r>
    </w:p>
    <w:p>
      <w:pPr>
        <w:pStyle w:val="25"/>
        <w:ind w:firstLine="602"/>
        <w:rPr>
          <w:rFonts w:ascii="Times New Roman" w:hAnsi="Times New Roman" w:cs="Times New Roman"/>
        </w:rPr>
      </w:pPr>
      <w:r>
        <w:rPr>
          <w:rFonts w:ascii="Times New Roman" w:hAnsi="Times New Roman" w:cs="Times New Roman"/>
          <w:b/>
          <w:bCs/>
        </w:rPr>
        <w:t>——改革创新活力实现新增强。</w:t>
      </w:r>
      <w:r>
        <w:rPr>
          <w:rFonts w:ascii="Times New Roman" w:hAnsi="Times New Roman" w:cs="Times New Roman"/>
        </w:rPr>
        <w:t>重点领域改革取得突破，营商环境达到全省一流水平，科技创新体系更加健全，研发投入强度持续提高，新质生产力培育和数字经济发展成效显著，人才、数据等关键要素活力充分释放。</w:t>
      </w:r>
    </w:p>
    <w:p>
      <w:pPr>
        <w:pStyle w:val="25"/>
        <w:ind w:firstLine="602"/>
        <w:rPr>
          <w:rFonts w:ascii="Times New Roman" w:hAnsi="Times New Roman" w:cs="Times New Roman"/>
        </w:rPr>
      </w:pPr>
      <w:r>
        <w:rPr>
          <w:rFonts w:ascii="Times New Roman" w:hAnsi="Times New Roman" w:cs="Times New Roman"/>
          <w:b/>
          <w:bCs/>
        </w:rPr>
        <w:t>——综合经济实力实现新突破。</w:t>
      </w:r>
      <w:r>
        <w:rPr>
          <w:rFonts w:ascii="Times New Roman" w:hAnsi="Times New Roman" w:cs="Times New Roman"/>
        </w:rPr>
        <w:t>地区生产总值增速高于全省平均水平，现代化产业体系基本建成，主特产业竞争力持续增强，新兴产业形成规模效应，产业链韧性与附加值显著提升，产业数字化与绿色化转型迈出实质性步伐。</w:t>
      </w:r>
    </w:p>
    <w:p>
      <w:pPr>
        <w:pStyle w:val="25"/>
        <w:ind w:firstLine="602"/>
        <w:rPr>
          <w:rFonts w:ascii="Times New Roman" w:hAnsi="Times New Roman" w:cs="Times New Roman"/>
        </w:rPr>
      </w:pPr>
      <w:r>
        <w:rPr>
          <w:rFonts w:ascii="Times New Roman" w:hAnsi="Times New Roman" w:cs="Times New Roman"/>
          <w:b/>
          <w:bCs/>
        </w:rPr>
        <w:t>——城乡建设水平实现新跨越。</w:t>
      </w:r>
      <w:r>
        <w:rPr>
          <w:rFonts w:ascii="Times New Roman" w:hAnsi="Times New Roman" w:cs="Times New Roman"/>
        </w:rPr>
        <w:t>以人为核心的新型城镇化深入推进，城区空间格局更加优化，城市综合功能更加完善，中心城区首位度明显提升。瞄准“五个一体化”目标，全面推进乡村振兴。</w:t>
      </w:r>
    </w:p>
    <w:p>
      <w:pPr>
        <w:pStyle w:val="25"/>
        <w:ind w:firstLine="602"/>
        <w:rPr>
          <w:rFonts w:ascii="Times New Roman" w:hAnsi="Times New Roman" w:cs="Times New Roman"/>
        </w:rPr>
      </w:pPr>
      <w:r>
        <w:rPr>
          <w:rFonts w:ascii="Times New Roman" w:hAnsi="Times New Roman" w:cs="Times New Roman"/>
          <w:b/>
          <w:bCs/>
        </w:rPr>
        <w:t>——人民生活品质实现新增进。</w:t>
      </w:r>
      <w:r>
        <w:rPr>
          <w:rFonts w:ascii="Times New Roman" w:hAnsi="Times New Roman" w:cs="Times New Roman"/>
        </w:rPr>
        <w:t>居民收入与经济发展同步提高，共同富裕取得实质性进展，聚焦群众关注的就业、教育、医疗、养老、社会保障等领域，办好一批可感可及可触摸可参与的民生实事。</w:t>
      </w:r>
    </w:p>
    <w:p>
      <w:pPr>
        <w:pStyle w:val="25"/>
        <w:ind w:firstLine="602"/>
        <w:rPr>
          <w:rFonts w:ascii="Times New Roman" w:hAnsi="Times New Roman" w:cs="Times New Roman"/>
        </w:rPr>
      </w:pPr>
      <w:r>
        <w:rPr>
          <w:rFonts w:ascii="Times New Roman" w:hAnsi="Times New Roman" w:cs="Times New Roman"/>
          <w:b/>
          <w:bCs/>
        </w:rPr>
        <w:t>——生态文明发展实现新进步。</w:t>
      </w:r>
      <w:r>
        <w:rPr>
          <w:rFonts w:ascii="Times New Roman" w:hAnsi="Times New Roman" w:cs="Times New Roman"/>
        </w:rPr>
        <w:t>生态安全屏障更加牢固，环境质量持续改善，绿色生产生活方式广泛形成，能源资源利用效率大幅提升，“两山”转化通道有效拓宽，美丽新晃建设取得新成效。</w:t>
      </w:r>
    </w:p>
    <w:p>
      <w:pPr>
        <w:pStyle w:val="25"/>
        <w:ind w:firstLine="602"/>
        <w:rPr>
          <w:rFonts w:ascii="Times New Roman" w:hAnsi="Times New Roman" w:cs="Times New Roman"/>
        </w:rPr>
      </w:pPr>
      <w:r>
        <w:rPr>
          <w:rFonts w:ascii="Times New Roman" w:hAnsi="Times New Roman" w:cs="Times New Roman"/>
          <w:b/>
          <w:bCs/>
        </w:rPr>
        <w:t>——社会治理效能实现新提升。</w:t>
      </w:r>
      <w:r>
        <w:rPr>
          <w:rFonts w:ascii="Times New Roman" w:hAnsi="Times New Roman" w:cs="Times New Roman"/>
        </w:rPr>
        <w:t>基层组织体系更加健全，共建共治共享机制更加完善，跨区域协同治理机制有效运转，全民法治意识明显增强，建成更高水平的平安法治新晃。</w:t>
      </w:r>
    </w:p>
    <w:p>
      <w:pPr>
        <w:pStyle w:val="25"/>
        <w:ind w:firstLine="600"/>
        <w:rPr>
          <w:rFonts w:ascii="Times New Roman" w:hAnsi="Times New Roman" w:cs="Times New Roman"/>
        </w:rPr>
      </w:pPr>
      <w:r>
        <w:rPr>
          <w:rFonts w:ascii="Times New Roman" w:hAnsi="Times New Roman" w:cs="Times New Roman"/>
        </w:rPr>
        <w:t>在此基础上再奋斗五年，到二〇三五年实现全县综合经济实力、科技创新能力、县域治理水平大幅提升，人均地区生产总值达到中等发达国家水平，人民生活更加美好，基本实现社会主义现代化。</w:t>
      </w:r>
    </w:p>
    <w:bookmarkEnd w:id="60"/>
    <w:p>
      <w:pPr>
        <w:pStyle w:val="32"/>
        <w:rPr>
          <w:rFonts w:ascii="Times New Roman" w:hAnsi="Times New Roman" w:cs="Times New Roman"/>
        </w:rPr>
      </w:pPr>
      <w:bookmarkStart w:id="61" w:name="OLE_LINK39"/>
    </w:p>
    <w:p>
      <w:pPr>
        <w:pStyle w:val="32"/>
        <w:rPr>
          <w:rFonts w:ascii="Times New Roman" w:hAnsi="Times New Roman" w:cs="Times New Roman"/>
        </w:rPr>
      </w:pPr>
    </w:p>
    <w:p>
      <w:pPr>
        <w:pStyle w:val="32"/>
        <w:rPr>
          <w:rFonts w:ascii="Times New Roman" w:hAnsi="Times New Roman" w:cs="Times New Roman"/>
        </w:rPr>
      </w:pPr>
    </w:p>
    <w:p>
      <w:pPr>
        <w:pStyle w:val="32"/>
        <w:rPr>
          <w:rFonts w:ascii="Times New Roman" w:hAnsi="Times New Roman" w:cs="Times New Roman"/>
          <w:highlight w:val="yellow"/>
        </w:rPr>
      </w:pPr>
    </w:p>
    <w:p>
      <w:pPr>
        <w:pStyle w:val="32"/>
        <w:rPr>
          <w:rFonts w:ascii="Times New Roman" w:hAnsi="Times New Roman" w:cs="Times New Roman"/>
          <w:highlight w:val="yellow"/>
        </w:rPr>
      </w:pPr>
    </w:p>
    <w:bookmarkEnd w:id="61"/>
    <w:p>
      <w:pPr>
        <w:pStyle w:val="32"/>
        <w:rPr>
          <w:rFonts w:ascii="Times New Roman" w:hAnsi="Times New Roman" w:cs="Times New Roman"/>
          <w:highlight w:val="none"/>
        </w:rPr>
      </w:pPr>
      <w:r>
        <w:rPr>
          <w:rFonts w:ascii="Times New Roman" w:hAnsi="Times New Roman" w:cs="Times New Roman"/>
          <w:highlight w:val="none"/>
        </w:rPr>
        <w:t>表1.4-1 新晃“十五五”经济社会发展主要指标</w:t>
      </w:r>
    </w:p>
    <w:tbl>
      <w:tblPr>
        <w:tblStyle w:val="44"/>
        <w:tblW w:w="93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589"/>
        <w:gridCol w:w="589"/>
        <w:gridCol w:w="1881"/>
        <w:gridCol w:w="2643"/>
        <w:gridCol w:w="1280"/>
        <w:gridCol w:w="1494"/>
        <w:gridCol w:w="89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90" w:hRule="atLeast"/>
          <w:jc w:val="center"/>
        </w:trPr>
        <w:tc>
          <w:tcPr>
            <w:tcW w:w="589"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3"/>
                <w:kern w:val="0"/>
                <w:sz w:val="24"/>
                <w:szCs w:val="24"/>
                <w:highlight w:val="none"/>
              </w:rPr>
            </w:pPr>
            <w:bookmarkStart w:id="62" w:name="_Hlk216168190"/>
            <w:r>
              <w:rPr>
                <w:rFonts w:ascii="Times New Roman" w:hAnsi="Times New Roman" w:eastAsia="仿宋" w:cs="Times New Roman"/>
                <w:b/>
                <w:bCs/>
                <w:spacing w:val="-5"/>
                <w:kern w:val="0"/>
                <w:sz w:val="24"/>
                <w:szCs w:val="24"/>
                <w:highlight w:val="none"/>
              </w:rPr>
              <w:t>序号</w:t>
            </w:r>
          </w:p>
        </w:tc>
        <w:tc>
          <w:tcPr>
            <w:tcW w:w="589"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b/>
                <w:bCs/>
                <w:spacing w:val="3"/>
                <w:kern w:val="0"/>
                <w:sz w:val="24"/>
                <w:szCs w:val="24"/>
                <w:highlight w:val="none"/>
              </w:rPr>
              <w:t>类别</w:t>
            </w: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5"/>
                <w:kern w:val="0"/>
                <w:sz w:val="24"/>
                <w:szCs w:val="24"/>
                <w:highlight w:val="none"/>
                <w:lang w:eastAsia="zh-CN"/>
              </w:rPr>
            </w:pPr>
            <w:r>
              <w:rPr>
                <w:rFonts w:ascii="Times New Roman" w:hAnsi="Times New Roman" w:eastAsia="仿宋" w:cs="Times New Roman"/>
                <w:b/>
                <w:bCs/>
                <w:spacing w:val="-5"/>
                <w:kern w:val="0"/>
                <w:sz w:val="24"/>
                <w:szCs w:val="24"/>
                <w:highlight w:val="none"/>
              </w:rPr>
              <w:t>指标名称</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b w:val="0"/>
                <w:bCs w:val="0"/>
                <w:spacing w:val="-6"/>
                <w:kern w:val="0"/>
                <w:sz w:val="24"/>
                <w:szCs w:val="24"/>
                <w:highlight w:val="none"/>
                <w:lang w:val="en-US" w:eastAsia="zh-CN" w:bidi="ar-SA"/>
              </w:rPr>
            </w:pPr>
            <w:r>
              <w:rPr>
                <w:rFonts w:hint="eastAsia" w:ascii="Times New Roman" w:hAnsi="Times New Roman" w:eastAsia="仿宋" w:cs="Times New Roman"/>
                <w:b w:val="0"/>
                <w:bCs w:val="0"/>
                <w:spacing w:val="-6"/>
                <w:kern w:val="0"/>
                <w:sz w:val="24"/>
                <w:szCs w:val="24"/>
                <w:highlight w:val="none"/>
                <w:lang w:val="en-US" w:eastAsia="zh-CN" w:bidi="ar-SA"/>
              </w:rPr>
              <w:t>基期值</w:t>
            </w:r>
          </w:p>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b/>
                <w:bCs/>
                <w:spacing w:val="-6"/>
                <w:kern w:val="0"/>
                <w:sz w:val="24"/>
                <w:szCs w:val="24"/>
                <w:highlight w:val="none"/>
                <w:lang w:val="en-US" w:eastAsia="zh-CN" w:bidi="ar-SA"/>
              </w:rPr>
            </w:pPr>
            <w:r>
              <w:rPr>
                <w:rFonts w:hint="eastAsia" w:ascii="Times New Roman" w:hAnsi="Times New Roman" w:eastAsia="仿宋" w:cs="Times New Roman"/>
                <w:b w:val="0"/>
                <w:bCs w:val="0"/>
                <w:spacing w:val="-6"/>
                <w:kern w:val="0"/>
                <w:sz w:val="24"/>
                <w:szCs w:val="24"/>
                <w:highlight w:val="none"/>
                <w:lang w:val="en-US" w:eastAsia="zh-CN" w:bidi="ar-SA"/>
              </w:rPr>
              <w:t>（2025年）</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val="0"/>
                <w:bCs w:val="0"/>
                <w:spacing w:val="-6"/>
                <w:kern w:val="0"/>
                <w:sz w:val="24"/>
                <w:szCs w:val="24"/>
                <w:highlight w:val="none"/>
                <w:lang w:eastAsia="zh-CN"/>
              </w:rPr>
            </w:pPr>
            <w:r>
              <w:rPr>
                <w:rFonts w:hint="eastAsia" w:ascii="Times New Roman" w:hAnsi="Times New Roman" w:eastAsia="仿宋" w:cs="Times New Roman"/>
                <w:b w:val="0"/>
                <w:bCs w:val="0"/>
                <w:spacing w:val="-6"/>
                <w:kern w:val="0"/>
                <w:sz w:val="24"/>
                <w:szCs w:val="24"/>
                <w:highlight w:val="none"/>
                <w:lang w:eastAsia="zh-CN"/>
              </w:rPr>
              <w:t>目标值</w:t>
            </w:r>
          </w:p>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val="0"/>
                <w:bCs w:val="0"/>
                <w:spacing w:val="-6"/>
                <w:kern w:val="0"/>
                <w:sz w:val="24"/>
                <w:szCs w:val="24"/>
                <w:highlight w:val="none"/>
                <w:lang w:eastAsia="zh-CN"/>
              </w:rPr>
            </w:pPr>
            <w:r>
              <w:rPr>
                <w:rFonts w:hint="eastAsia" w:ascii="Times New Roman" w:hAnsi="Times New Roman" w:eastAsia="仿宋" w:cs="Times New Roman"/>
                <w:b w:val="0"/>
                <w:bCs w:val="0"/>
                <w:spacing w:val="-6"/>
                <w:kern w:val="0"/>
                <w:sz w:val="24"/>
                <w:szCs w:val="24"/>
                <w:highlight w:val="none"/>
                <w:lang w:eastAsia="zh-CN"/>
              </w:rPr>
              <w:t>（</w:t>
            </w:r>
            <w:r>
              <w:rPr>
                <w:rFonts w:ascii="Times New Roman" w:hAnsi="Times New Roman" w:eastAsia="仿宋" w:cs="Times New Roman"/>
                <w:b w:val="0"/>
                <w:bCs w:val="0"/>
                <w:spacing w:val="-6"/>
                <w:kern w:val="0"/>
                <w:sz w:val="24"/>
                <w:szCs w:val="24"/>
                <w:highlight w:val="none"/>
                <w:lang w:eastAsia="zh-CN"/>
              </w:rPr>
              <w:t>2030年</w:t>
            </w:r>
            <w:r>
              <w:rPr>
                <w:rFonts w:hint="eastAsia" w:ascii="Times New Roman" w:hAnsi="Times New Roman" w:eastAsia="仿宋" w:cs="Times New Roman"/>
                <w:b w:val="0"/>
                <w:bCs w:val="0"/>
                <w:spacing w:val="-6"/>
                <w:kern w:val="0"/>
                <w:sz w:val="24"/>
                <w:szCs w:val="24"/>
                <w:highlight w:val="none"/>
                <w:lang w:eastAsia="zh-CN"/>
              </w:rPr>
              <w:t>）</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val="0"/>
                <w:bCs w:val="0"/>
                <w:kern w:val="0"/>
                <w:sz w:val="24"/>
                <w:szCs w:val="24"/>
                <w:highlight w:val="none"/>
                <w:lang w:val="en-US" w:eastAsia="en-US" w:bidi="ar-SA"/>
              </w:rPr>
            </w:pPr>
            <w:r>
              <w:rPr>
                <w:rFonts w:ascii="Times New Roman" w:hAnsi="Times New Roman" w:eastAsia="仿宋" w:cs="Times New Roman"/>
                <w:b w:val="0"/>
                <w:bCs w:val="0"/>
                <w:spacing w:val="-6"/>
                <w:kern w:val="0"/>
                <w:sz w:val="24"/>
                <w:szCs w:val="24"/>
                <w:highlight w:val="none"/>
              </w:rPr>
              <w:t>属性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14" w:hRule="atLeast"/>
          <w:jc w:val="center"/>
        </w:trPr>
        <w:tc>
          <w:tcPr>
            <w:tcW w:w="589"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lang w:eastAsia="zh-CN"/>
              </w:rPr>
            </w:pPr>
            <w:r>
              <w:rPr>
                <w:rFonts w:ascii="Times New Roman" w:hAnsi="Times New Roman" w:eastAsia="仿宋" w:cs="Times New Roman"/>
                <w:kern w:val="0"/>
                <w:sz w:val="24"/>
                <w:szCs w:val="24"/>
                <w:highlight w:val="none"/>
              </w:rPr>
              <w:t>1</w:t>
            </w:r>
          </w:p>
        </w:tc>
        <w:tc>
          <w:tcPr>
            <w:tcW w:w="589" w:type="dxa"/>
            <w:vMerge w:val="restart"/>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bookmarkStart w:id="63" w:name="_Hlk209025936"/>
            <w:r>
              <w:rPr>
                <w:rFonts w:ascii="Times New Roman" w:hAnsi="Times New Roman" w:eastAsia="仿宋" w:cs="Times New Roman"/>
                <w:b/>
                <w:bCs/>
                <w:spacing w:val="-9"/>
                <w:kern w:val="0"/>
                <w:sz w:val="24"/>
                <w:szCs w:val="24"/>
                <w:highlight w:val="none"/>
                <w:lang w:eastAsia="zh-CN"/>
              </w:rPr>
              <w:t>经济发展</w:t>
            </w: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地区生产总值</w:t>
            </w:r>
            <w:r>
              <w:rPr>
                <w:rFonts w:hint="eastAsia" w:ascii="Times New Roman" w:hAnsi="Times New Roman" w:eastAsia="仿宋" w:cs="Times New Roman"/>
                <w:kern w:val="0"/>
                <w:sz w:val="24"/>
                <w:szCs w:val="24"/>
                <w:highlight w:val="none"/>
                <w:lang w:eastAsia="zh-CN"/>
              </w:rPr>
              <w:t>（</w:t>
            </w:r>
            <w:r>
              <w:rPr>
                <w:rFonts w:hint="eastAsia" w:ascii="Times New Roman" w:hAnsi="Times New Roman" w:eastAsia="仿宋" w:cs="Times New Roman"/>
                <w:kern w:val="0"/>
                <w:sz w:val="24"/>
                <w:szCs w:val="24"/>
                <w:highlight w:val="none"/>
                <w:lang w:val="en-US" w:eastAsia="zh-CN"/>
              </w:rPr>
              <w:t>GDP</w:t>
            </w:r>
            <w:r>
              <w:rPr>
                <w:rFonts w:hint="eastAsia" w:ascii="Times New Roman" w:hAnsi="Times New Roman" w:eastAsia="仿宋" w:cs="Times New Roman"/>
                <w:kern w:val="0"/>
                <w:sz w:val="24"/>
                <w:szCs w:val="24"/>
                <w:highlight w:val="none"/>
                <w:lang w:eastAsia="zh-CN"/>
              </w:rPr>
              <w:t>）</w:t>
            </w:r>
            <w:r>
              <w:rPr>
                <w:rFonts w:ascii="Times New Roman" w:hAnsi="Times New Roman" w:eastAsia="仿宋" w:cs="Times New Roman"/>
                <w:kern w:val="0"/>
                <w:sz w:val="24"/>
                <w:szCs w:val="24"/>
                <w:highlight w:val="none"/>
                <w:lang w:eastAsia="zh-CN"/>
              </w:rPr>
              <w:t>增长（%）</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6</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sz w:val="24"/>
                <w:szCs w:val="24"/>
                <w:highlight w:val="none"/>
              </w:rPr>
              <w:t>6</w:t>
            </w:r>
            <w:r>
              <w:rPr>
                <w:rFonts w:ascii="Times New Roman" w:hAnsi="Times New Roman" w:eastAsia="仿宋" w:cs="Times New Roman"/>
                <w:sz w:val="24"/>
                <w:szCs w:val="24"/>
                <w:highlight w:val="none"/>
                <w:lang w:eastAsia="zh-CN"/>
              </w:rPr>
              <w:t>-6.5</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3"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2</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全员劳动生产率增长（%）</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spacing w:val="3"/>
                <w:kern w:val="0"/>
                <w:sz w:val="24"/>
                <w:szCs w:val="24"/>
                <w:highlight w:val="none"/>
                <w:lang w:val="en-US" w:eastAsia="zh-CN"/>
              </w:rPr>
            </w:pPr>
            <w:r>
              <w:rPr>
                <w:rFonts w:hint="eastAsia" w:ascii="Times New Roman" w:hAnsi="Times New Roman" w:eastAsia="仿宋" w:cs="Times New Roman"/>
                <w:spacing w:val="3"/>
                <w:kern w:val="0"/>
                <w:sz w:val="21"/>
                <w:szCs w:val="21"/>
                <w:highlight w:val="none"/>
                <w:lang w:eastAsia="zh-CN"/>
              </w:rPr>
              <w:t>高于</w:t>
            </w:r>
            <w:r>
              <w:rPr>
                <w:rFonts w:hint="eastAsia" w:ascii="Times New Roman" w:hAnsi="Times New Roman" w:eastAsia="仿宋" w:cs="Times New Roman"/>
                <w:spacing w:val="3"/>
                <w:kern w:val="0"/>
                <w:sz w:val="21"/>
                <w:szCs w:val="21"/>
                <w:highlight w:val="none"/>
                <w:lang w:val="en-US" w:eastAsia="zh-CN"/>
              </w:rPr>
              <w:t>GDP增长</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15"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3</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常住人口城镇化率（%）</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z w:val="24"/>
                <w:szCs w:val="24"/>
                <w:highlight w:val="none"/>
              </w:rPr>
            </w:pPr>
            <w:r>
              <w:rPr>
                <w:rFonts w:hint="eastAsia" w:ascii="Times New Roman" w:hAnsi="Times New Roman" w:eastAsia="仿宋" w:cs="Times New Roman"/>
                <w:sz w:val="24"/>
                <w:szCs w:val="24"/>
                <w:highlight w:val="none"/>
              </w:rPr>
              <w:t>43.05</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sz w:val="24"/>
                <w:szCs w:val="24"/>
                <w:highlight w:val="none"/>
              </w:rPr>
              <w:t>5</w:t>
            </w:r>
            <w:r>
              <w:rPr>
                <w:rFonts w:ascii="Times New Roman" w:hAnsi="Times New Roman" w:eastAsia="仿宋" w:cs="Times New Roman"/>
                <w:sz w:val="24"/>
                <w:szCs w:val="24"/>
                <w:highlight w:val="none"/>
                <w:lang w:eastAsia="zh-CN"/>
              </w:rPr>
              <w:t>2</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4"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4</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kern w:val="0"/>
                <w:sz w:val="24"/>
                <w:szCs w:val="24"/>
                <w:highlight w:val="none"/>
                <w:lang w:eastAsia="zh-CN"/>
              </w:rPr>
              <w:t>对外贸易依存度（%）</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spacing w:val="3"/>
                <w:kern w:val="0"/>
                <w:sz w:val="24"/>
                <w:szCs w:val="24"/>
                <w:highlight w:val="none"/>
                <w:lang w:val="en-US" w:eastAsia="zh-CN"/>
              </w:rPr>
            </w:pPr>
            <w:r>
              <w:rPr>
                <w:rFonts w:hint="eastAsia" w:ascii="Times New Roman" w:hAnsi="Times New Roman" w:eastAsia="仿宋" w:cs="Times New Roman"/>
                <w:spacing w:val="3"/>
                <w:kern w:val="0"/>
                <w:sz w:val="24"/>
                <w:szCs w:val="24"/>
                <w:highlight w:val="none"/>
                <w:lang w:val="en-US" w:eastAsia="zh-CN"/>
              </w:rPr>
              <w:t>5.1</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spacing w:val="3"/>
                <w:kern w:val="0"/>
                <w:sz w:val="24"/>
                <w:szCs w:val="24"/>
                <w:highlight w:val="none"/>
                <w:lang w:eastAsia="zh-CN"/>
              </w:rPr>
              <w:t>7</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18" w:hRule="atLeast"/>
          <w:jc w:val="center"/>
        </w:trPr>
        <w:tc>
          <w:tcPr>
            <w:tcW w:w="589"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rPr>
            </w:pPr>
            <w:r>
              <w:rPr>
                <w:rFonts w:ascii="Times New Roman" w:hAnsi="Times New Roman" w:eastAsia="仿宋" w:cs="Times New Roman"/>
                <w:kern w:val="0"/>
                <w:sz w:val="24"/>
                <w:szCs w:val="24"/>
                <w:highlight w:val="none"/>
                <w:lang w:eastAsia="zh-CN"/>
              </w:rPr>
              <w:t>5</w:t>
            </w:r>
          </w:p>
        </w:tc>
        <w:tc>
          <w:tcPr>
            <w:tcW w:w="589" w:type="dxa"/>
            <w:vMerge w:val="continue"/>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高技术制造业增加值占规模工业增加值比重（%）</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13</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15</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18" w:hRule="atLeast"/>
          <w:jc w:val="center"/>
        </w:trPr>
        <w:tc>
          <w:tcPr>
            <w:tcW w:w="589"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lang w:eastAsia="zh-CN"/>
              </w:rPr>
            </w:pPr>
            <w:r>
              <w:rPr>
                <w:rFonts w:ascii="Times New Roman" w:hAnsi="Times New Roman" w:eastAsia="仿宋" w:cs="Times New Roman"/>
                <w:kern w:val="0"/>
                <w:sz w:val="24"/>
                <w:szCs w:val="24"/>
                <w:highlight w:val="none"/>
                <w:lang w:eastAsia="zh-CN"/>
              </w:rPr>
              <w:t>6</w:t>
            </w:r>
          </w:p>
        </w:tc>
        <w:tc>
          <w:tcPr>
            <w:tcW w:w="589" w:type="dxa"/>
            <w:vMerge w:val="restart"/>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lang w:eastAsia="zh-CN"/>
              </w:rPr>
            </w:pPr>
            <w:r>
              <w:rPr>
                <w:rFonts w:ascii="Times New Roman" w:hAnsi="Times New Roman" w:eastAsia="仿宋" w:cs="Times New Roman"/>
                <w:b/>
                <w:bCs/>
                <w:spacing w:val="-9"/>
                <w:kern w:val="0"/>
                <w:sz w:val="24"/>
                <w:szCs w:val="24"/>
                <w:highlight w:val="none"/>
              </w:rPr>
              <w:t>创新驱动</w:t>
            </w: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全社会研发经费投入</w:t>
            </w:r>
            <w:r>
              <w:rPr>
                <w:rFonts w:hint="eastAsia" w:ascii="Times New Roman" w:hAnsi="Times New Roman" w:eastAsia="仿宋" w:cs="Times New Roman"/>
                <w:kern w:val="0"/>
                <w:sz w:val="24"/>
                <w:szCs w:val="24"/>
                <w:highlight w:val="none"/>
                <w:lang w:eastAsia="zh-CN"/>
              </w:rPr>
              <w:t>增长</w:t>
            </w:r>
            <w:r>
              <w:rPr>
                <w:rFonts w:ascii="Times New Roman" w:hAnsi="Times New Roman" w:eastAsia="仿宋" w:cs="Times New Roman"/>
                <w:kern w:val="0"/>
                <w:sz w:val="24"/>
                <w:szCs w:val="24"/>
                <w:highlight w:val="none"/>
                <w:lang w:eastAsia="zh-CN"/>
              </w:rPr>
              <w:t>（%）</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hint="eastAsia" w:ascii="Times New Roman" w:hAnsi="Times New Roman" w:eastAsia="仿宋" w:cs="Times New Roman"/>
                <w:kern w:val="0"/>
                <w:sz w:val="24"/>
                <w:szCs w:val="24"/>
                <w:highlight w:val="none"/>
                <w:lang w:eastAsia="zh-CN"/>
              </w:rPr>
              <w:t>—</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hint="eastAsia" w:ascii="Times New Roman" w:hAnsi="Times New Roman" w:eastAsia="仿宋" w:cs="Times New Roman"/>
                <w:kern w:val="0"/>
                <w:sz w:val="24"/>
                <w:szCs w:val="24"/>
                <w:highlight w:val="none"/>
                <w:lang w:eastAsia="zh-CN"/>
              </w:rPr>
              <w:t>年均</w:t>
            </w:r>
            <w:r>
              <w:rPr>
                <w:rFonts w:ascii="Times New Roman" w:hAnsi="Times New Roman" w:eastAsia="仿宋" w:cs="Times New Roman"/>
                <w:kern w:val="0"/>
                <w:sz w:val="24"/>
                <w:szCs w:val="24"/>
                <w:highlight w:val="none"/>
                <w:lang w:eastAsia="zh-CN"/>
              </w:rPr>
              <w:t>4</w:t>
            </w:r>
            <w:r>
              <w:rPr>
                <w:rFonts w:hint="eastAsia" w:ascii="Times New Roman" w:hAnsi="Times New Roman" w:eastAsia="仿宋" w:cs="Times New Roman"/>
                <w:kern w:val="0"/>
                <w:sz w:val="24"/>
                <w:szCs w:val="24"/>
                <w:highlight w:val="none"/>
                <w:lang w:eastAsia="zh-CN"/>
              </w:rPr>
              <w:t>以上</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5"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7</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每万人口高价值发明专利拥有量（件）</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1.71</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kern w:val="0"/>
                <w:sz w:val="24"/>
                <w:szCs w:val="24"/>
                <w:highlight w:val="none"/>
              </w:rPr>
              <w:t>3</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18"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8</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数字经济核心产业增加值占</w:t>
            </w:r>
            <w:r>
              <w:rPr>
                <w:rFonts w:hint="eastAsia" w:ascii="Times New Roman" w:hAnsi="Times New Roman" w:eastAsia="仿宋" w:cs="Times New Roman"/>
                <w:kern w:val="0"/>
                <w:sz w:val="24"/>
                <w:szCs w:val="24"/>
                <w:highlight w:val="none"/>
                <w:lang w:val="en-US" w:eastAsia="zh-CN"/>
              </w:rPr>
              <w:t>GDP</w:t>
            </w:r>
            <w:r>
              <w:rPr>
                <w:rFonts w:ascii="Times New Roman" w:hAnsi="Times New Roman" w:eastAsia="仿宋" w:cs="Times New Roman"/>
                <w:kern w:val="0"/>
                <w:sz w:val="24"/>
                <w:szCs w:val="24"/>
                <w:highlight w:val="none"/>
                <w:lang w:eastAsia="zh-CN"/>
              </w:rPr>
              <w:t>比重（%）</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5.4</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sz w:val="24"/>
                <w:szCs w:val="24"/>
                <w:highlight w:val="none"/>
              </w:rPr>
              <w:t>1</w:t>
            </w:r>
            <w:r>
              <w:rPr>
                <w:rFonts w:ascii="Times New Roman" w:hAnsi="Times New Roman" w:eastAsia="仿宋" w:cs="Times New Roman"/>
                <w:sz w:val="24"/>
                <w:szCs w:val="24"/>
                <w:highlight w:val="none"/>
                <w:lang w:eastAsia="zh-CN"/>
              </w:rPr>
              <w:t>2</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6" w:hRule="atLeast"/>
          <w:jc w:val="center"/>
        </w:trPr>
        <w:tc>
          <w:tcPr>
            <w:tcW w:w="589"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rPr>
            </w:pPr>
            <w:r>
              <w:rPr>
                <w:rFonts w:ascii="Times New Roman" w:hAnsi="Times New Roman" w:eastAsia="仿宋" w:cs="Times New Roman"/>
                <w:b w:val="0"/>
                <w:bCs w:val="0"/>
                <w:spacing w:val="-9"/>
                <w:kern w:val="0"/>
                <w:sz w:val="24"/>
                <w:szCs w:val="24"/>
                <w:highlight w:val="none"/>
                <w:lang w:eastAsia="zh-CN"/>
              </w:rPr>
              <w:t>9</w:t>
            </w:r>
          </w:p>
        </w:tc>
        <w:tc>
          <w:tcPr>
            <w:tcW w:w="589" w:type="dxa"/>
            <w:vMerge w:val="restart"/>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rPr>
            </w:pPr>
            <w:r>
              <w:rPr>
                <w:rFonts w:ascii="Times New Roman" w:hAnsi="Times New Roman" w:eastAsia="仿宋" w:cs="Times New Roman"/>
                <w:b/>
                <w:bCs/>
                <w:spacing w:val="-9"/>
                <w:kern w:val="0"/>
                <w:sz w:val="24"/>
                <w:szCs w:val="24"/>
                <w:highlight w:val="none"/>
              </w:rPr>
              <w:t>民生福祉</w:t>
            </w: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城镇调查失业率（%）</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kern w:val="0"/>
                <w:sz w:val="24"/>
                <w:szCs w:val="24"/>
                <w:highlight w:val="none"/>
                <w:lang w:val="en-US" w:eastAsia="zh-CN"/>
              </w:rPr>
            </w:pPr>
            <w:r>
              <w:rPr>
                <w:rFonts w:ascii="Times New Roman" w:hAnsi="Times New Roman" w:eastAsia="仿宋" w:cs="Times New Roman"/>
                <w:kern w:val="0"/>
                <w:sz w:val="24"/>
                <w:szCs w:val="24"/>
                <w:highlight w:val="none"/>
              </w:rPr>
              <w:t>≤5.</w:t>
            </w:r>
            <w:r>
              <w:rPr>
                <w:rFonts w:hint="eastAsia" w:ascii="Times New Roman" w:hAnsi="Times New Roman" w:eastAsia="仿宋" w:cs="Times New Roman"/>
                <w:kern w:val="0"/>
                <w:sz w:val="24"/>
                <w:szCs w:val="24"/>
                <w:highlight w:val="none"/>
                <w:lang w:val="en-US" w:eastAsia="zh-CN"/>
              </w:rPr>
              <w:t>5</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≤5.0</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6" w:hRule="atLeast"/>
          <w:jc w:val="center"/>
        </w:trPr>
        <w:tc>
          <w:tcPr>
            <w:tcW w:w="589"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lang w:eastAsia="zh-CN"/>
              </w:rPr>
            </w:pPr>
            <w:r>
              <w:rPr>
                <w:rFonts w:ascii="Times New Roman" w:hAnsi="Times New Roman" w:eastAsia="仿宋" w:cs="Times New Roman"/>
                <w:kern w:val="0"/>
                <w:sz w:val="24"/>
                <w:szCs w:val="24"/>
                <w:highlight w:val="none"/>
              </w:rPr>
              <w:t>1</w:t>
            </w:r>
            <w:r>
              <w:rPr>
                <w:rFonts w:ascii="Times New Roman" w:hAnsi="Times New Roman" w:eastAsia="仿宋" w:cs="Times New Roman"/>
                <w:kern w:val="0"/>
                <w:sz w:val="24"/>
                <w:szCs w:val="24"/>
                <w:highlight w:val="none"/>
                <w:lang w:eastAsia="zh-CN"/>
              </w:rPr>
              <w:t>0</w:t>
            </w:r>
          </w:p>
        </w:tc>
        <w:tc>
          <w:tcPr>
            <w:tcW w:w="589" w:type="dxa"/>
            <w:vMerge w:val="continue"/>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lang w:eastAsia="zh-CN"/>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居民人均可支配收入增长（%）</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6.9</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spacing w:val="3"/>
                <w:kern w:val="0"/>
                <w:sz w:val="24"/>
                <w:szCs w:val="24"/>
                <w:highlight w:val="none"/>
                <w:lang w:val="en-US" w:eastAsia="zh-CN"/>
              </w:rPr>
            </w:pPr>
            <w:r>
              <w:rPr>
                <w:rFonts w:hint="eastAsia" w:ascii="Times New Roman" w:hAnsi="Times New Roman" w:eastAsia="仿宋" w:cs="Times New Roman"/>
                <w:spacing w:val="3"/>
                <w:kern w:val="0"/>
                <w:sz w:val="21"/>
                <w:szCs w:val="21"/>
                <w:highlight w:val="none"/>
                <w:lang w:val="en-US" w:eastAsia="zh-CN"/>
              </w:rPr>
              <w:t>高于GDP增长</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6"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11</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劳动年龄人口平均受教育年限（年）</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11.2</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kern w:val="0"/>
                <w:sz w:val="24"/>
                <w:szCs w:val="24"/>
                <w:highlight w:val="none"/>
              </w:rPr>
              <w:t>12</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kern w:val="0"/>
                <w:sz w:val="24"/>
                <w:szCs w:val="24"/>
                <w:highlight w:val="none"/>
                <w:lang w:eastAsia="zh-CN"/>
              </w:rPr>
            </w:pPr>
            <w:r>
              <w:rPr>
                <w:rFonts w:hint="eastAsia" w:ascii="Times New Roman" w:hAnsi="Times New Roman" w:eastAsia="仿宋" w:cs="Times New Roman"/>
                <w:kern w:val="0"/>
                <w:sz w:val="24"/>
                <w:szCs w:val="24"/>
                <w:highlight w:val="none"/>
                <w:lang w:eastAsia="zh-CN"/>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7" w:hRule="atLeast"/>
          <w:jc w:val="center"/>
        </w:trPr>
        <w:tc>
          <w:tcPr>
            <w:tcW w:w="589"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kern w:val="0"/>
                <w:sz w:val="24"/>
                <w:szCs w:val="24"/>
                <w:highlight w:val="none"/>
                <w:lang w:val="en-US" w:eastAsia="zh-CN"/>
              </w:rPr>
            </w:pPr>
            <w:r>
              <w:rPr>
                <w:rFonts w:ascii="Times New Roman" w:hAnsi="Times New Roman" w:eastAsia="仿宋" w:cs="Times New Roman"/>
                <w:kern w:val="0"/>
                <w:sz w:val="24"/>
                <w:szCs w:val="24"/>
                <w:highlight w:val="none"/>
              </w:rPr>
              <w:t>1</w:t>
            </w:r>
            <w:r>
              <w:rPr>
                <w:rFonts w:hint="eastAsia" w:ascii="Times New Roman" w:hAnsi="Times New Roman" w:eastAsia="仿宋" w:cs="Times New Roman"/>
                <w:kern w:val="0"/>
                <w:sz w:val="24"/>
                <w:szCs w:val="24"/>
                <w:highlight w:val="none"/>
                <w:lang w:val="en-US" w:eastAsia="zh-CN"/>
              </w:rPr>
              <w:t>2</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1881" w:type="dxa"/>
            <w:vMerge w:val="restart"/>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ascii="Times New Roman" w:hAnsi="Times New Roman" w:eastAsia="仿宋" w:cs="Times New Roman"/>
                <w:kern w:val="0"/>
                <w:sz w:val="24"/>
                <w:szCs w:val="24"/>
                <w:highlight w:val="none"/>
                <w:lang w:eastAsia="zh-CN"/>
              </w:rPr>
              <w:t>每千人口拥有</w:t>
            </w:r>
            <w:r>
              <w:rPr>
                <w:rFonts w:hint="eastAsia" w:ascii="Times New Roman" w:hAnsi="Times New Roman" w:eastAsia="仿宋" w:cs="Times New Roman"/>
                <w:kern w:val="0"/>
                <w:sz w:val="24"/>
                <w:szCs w:val="24"/>
                <w:highlight w:val="none"/>
                <w:lang w:eastAsia="zh-CN"/>
              </w:rPr>
              <w:t>医护人员数</w:t>
            </w:r>
          </w:p>
        </w:tc>
        <w:tc>
          <w:tcPr>
            <w:tcW w:w="2643"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lang w:eastAsia="zh-CN"/>
              </w:rPr>
              <w:t>执业医师数（人）</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2.91</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lang w:eastAsia="zh-CN"/>
              </w:rPr>
              <w:t>3.6</w:t>
            </w:r>
          </w:p>
        </w:tc>
        <w:tc>
          <w:tcPr>
            <w:tcW w:w="895" w:type="dxa"/>
            <w:vMerge w:val="restart"/>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rPr>
            </w:pPr>
            <w:r>
              <w:rPr>
                <w:rFonts w:ascii="Times New Roman" w:hAnsi="Times New Roman" w:eastAsia="仿宋" w:cs="Times New Roman"/>
                <w:spacing w:val="3"/>
                <w:kern w:val="0"/>
                <w:sz w:val="24"/>
                <w:szCs w:val="24"/>
                <w:highlight w:val="none"/>
                <w:lang w:eastAsia="zh-CN"/>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27" w:hRule="atLeast"/>
          <w:jc w:val="center"/>
        </w:trPr>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1881" w:type="dxa"/>
            <w:vMerge w:val="continue"/>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p>
        </w:tc>
        <w:tc>
          <w:tcPr>
            <w:tcW w:w="2643"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lang w:eastAsia="zh-CN"/>
              </w:rPr>
              <w:t>注册护士数（人）</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3.75</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lang w:eastAsia="zh-CN"/>
              </w:rPr>
              <w:t>5.3</w:t>
            </w:r>
          </w:p>
        </w:tc>
        <w:tc>
          <w:tcPr>
            <w:tcW w:w="895" w:type="dxa"/>
            <w:vMerge w:val="continue"/>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18"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kern w:val="0"/>
                <w:sz w:val="24"/>
                <w:szCs w:val="24"/>
                <w:highlight w:val="none"/>
                <w:lang w:val="en-US" w:eastAsia="zh-CN"/>
              </w:rPr>
            </w:pPr>
            <w:r>
              <w:rPr>
                <w:rFonts w:ascii="Times New Roman" w:hAnsi="Times New Roman" w:eastAsia="仿宋" w:cs="Times New Roman"/>
                <w:kern w:val="0"/>
                <w:sz w:val="24"/>
                <w:szCs w:val="24"/>
                <w:highlight w:val="none"/>
              </w:rPr>
              <w:t>1</w:t>
            </w:r>
            <w:r>
              <w:rPr>
                <w:rFonts w:hint="eastAsia" w:ascii="Times New Roman" w:hAnsi="Times New Roman" w:eastAsia="仿宋" w:cs="Times New Roman"/>
                <w:kern w:val="0"/>
                <w:sz w:val="24"/>
                <w:szCs w:val="24"/>
                <w:highlight w:val="none"/>
                <w:lang w:val="en-US" w:eastAsia="zh-CN"/>
              </w:rPr>
              <w:t>3</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养老机构护理型床位占比（%）</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spacing w:val="3"/>
                <w:kern w:val="0"/>
                <w:sz w:val="24"/>
                <w:szCs w:val="24"/>
                <w:highlight w:val="none"/>
                <w:lang w:val="en-US" w:eastAsia="zh-CN"/>
              </w:rPr>
            </w:pPr>
            <w:r>
              <w:rPr>
                <w:rFonts w:hint="eastAsia" w:ascii="Times New Roman" w:hAnsi="Times New Roman" w:eastAsia="仿宋" w:cs="Times New Roman"/>
                <w:spacing w:val="3"/>
                <w:kern w:val="0"/>
                <w:sz w:val="24"/>
                <w:szCs w:val="24"/>
                <w:highlight w:val="none"/>
                <w:lang w:val="en-US" w:eastAsia="zh-CN"/>
              </w:rPr>
              <w:t>51</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spacing w:val="3"/>
                <w:kern w:val="0"/>
                <w:sz w:val="24"/>
                <w:szCs w:val="24"/>
                <w:highlight w:val="none"/>
                <w:lang w:eastAsia="zh-CN"/>
              </w:rPr>
              <w:t>70</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18"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14</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3岁以下婴幼儿入托率</w:t>
            </w:r>
            <w:r>
              <w:rPr>
                <w:rFonts w:hint="eastAsia" w:ascii="Times New Roman" w:hAnsi="Times New Roman" w:eastAsia="仿宋" w:cs="Times New Roman"/>
                <w:kern w:val="0"/>
                <w:sz w:val="24"/>
                <w:szCs w:val="24"/>
                <w:highlight w:val="none"/>
                <w:lang w:eastAsia="zh-CN"/>
              </w:rPr>
              <w:t>提高</w:t>
            </w:r>
            <w:r>
              <w:rPr>
                <w:rFonts w:ascii="Times New Roman" w:hAnsi="Times New Roman" w:eastAsia="仿宋" w:cs="Times New Roman"/>
                <w:kern w:val="0"/>
                <w:sz w:val="24"/>
                <w:szCs w:val="24"/>
                <w:highlight w:val="none"/>
                <w:lang w:eastAsia="zh-CN"/>
              </w:rPr>
              <w:t>（</w:t>
            </w:r>
            <w:r>
              <w:rPr>
                <w:rFonts w:hint="eastAsia" w:ascii="Times New Roman" w:hAnsi="Times New Roman" w:eastAsia="仿宋" w:cs="Times New Roman"/>
                <w:kern w:val="0"/>
                <w:sz w:val="24"/>
                <w:szCs w:val="24"/>
                <w:highlight w:val="none"/>
                <w:lang w:eastAsia="zh-CN"/>
              </w:rPr>
              <w:t>百分点</w:t>
            </w:r>
            <w:r>
              <w:rPr>
                <w:rFonts w:ascii="Times New Roman" w:hAnsi="Times New Roman" w:eastAsia="仿宋" w:cs="Times New Roman"/>
                <w:kern w:val="0"/>
                <w:sz w:val="24"/>
                <w:szCs w:val="24"/>
                <w:highlight w:val="none"/>
                <w:lang w:eastAsia="zh-CN"/>
              </w:rPr>
              <w:t>）</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hint="eastAsia" w:ascii="Times New Roman" w:hAnsi="Times New Roman" w:eastAsia="仿宋" w:cs="Times New Roman"/>
                <w:spacing w:val="3"/>
                <w:kern w:val="0"/>
                <w:sz w:val="24"/>
                <w:szCs w:val="24"/>
                <w:highlight w:val="none"/>
                <w:lang w:eastAsia="zh-CN"/>
              </w:rPr>
              <w:t>—</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spacing w:val="3"/>
                <w:kern w:val="0"/>
                <w:sz w:val="24"/>
                <w:szCs w:val="24"/>
                <w:highlight w:val="none"/>
                <w:lang w:val="en-US" w:eastAsia="zh-CN"/>
              </w:rPr>
            </w:pPr>
            <w:r>
              <w:rPr>
                <w:rFonts w:hint="eastAsia" w:ascii="Times New Roman" w:hAnsi="Times New Roman" w:eastAsia="仿宋" w:cs="Times New Roman"/>
                <w:spacing w:val="3"/>
                <w:kern w:val="0"/>
                <w:sz w:val="24"/>
                <w:szCs w:val="24"/>
                <w:highlight w:val="none"/>
                <w:lang w:val="en-US" w:eastAsia="zh-CN"/>
              </w:rPr>
              <w:t>[4]</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18"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15</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rPr>
              <w:t>人均预期寿命（岁）</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hint="eastAsia" w:ascii="Times New Roman" w:hAnsi="Times New Roman" w:eastAsia="仿宋" w:cs="Times New Roman"/>
                <w:spacing w:val="3"/>
                <w:kern w:val="0"/>
                <w:sz w:val="24"/>
                <w:szCs w:val="24"/>
                <w:highlight w:val="none"/>
                <w:lang w:eastAsia="zh-CN"/>
              </w:rPr>
              <w:t>—</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kern w:val="0"/>
                <w:sz w:val="24"/>
                <w:szCs w:val="24"/>
                <w:highlight w:val="none"/>
              </w:rPr>
              <w:t>79</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spacing w:val="3"/>
                <w:kern w:val="0"/>
                <w:sz w:val="24"/>
                <w:szCs w:val="24"/>
                <w:highlight w:val="none"/>
                <w:lang w:eastAsia="zh-CN"/>
              </w:rPr>
            </w:pPr>
            <w:r>
              <w:rPr>
                <w:rFonts w:hint="eastAsia" w:ascii="Times New Roman" w:hAnsi="Times New Roman" w:eastAsia="仿宋" w:cs="Times New Roman"/>
                <w:spacing w:val="3"/>
                <w:kern w:val="0"/>
                <w:sz w:val="24"/>
                <w:szCs w:val="24"/>
                <w:highlight w:val="none"/>
                <w:lang w:eastAsia="zh-CN"/>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19" w:hRule="atLeast"/>
          <w:jc w:val="center"/>
        </w:trPr>
        <w:tc>
          <w:tcPr>
            <w:tcW w:w="589"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rPr>
            </w:pPr>
            <w:r>
              <w:rPr>
                <w:rFonts w:ascii="Times New Roman" w:hAnsi="Times New Roman" w:eastAsia="仿宋" w:cs="Times New Roman"/>
                <w:kern w:val="0"/>
                <w:sz w:val="24"/>
                <w:szCs w:val="24"/>
                <w:highlight w:val="none"/>
                <w:lang w:eastAsia="zh-CN"/>
              </w:rPr>
              <w:t>16</w:t>
            </w:r>
          </w:p>
        </w:tc>
        <w:tc>
          <w:tcPr>
            <w:tcW w:w="589" w:type="dxa"/>
            <w:vMerge w:val="restart"/>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b/>
                <w:bCs/>
                <w:spacing w:val="-9"/>
                <w:kern w:val="0"/>
                <w:sz w:val="24"/>
                <w:szCs w:val="24"/>
                <w:highlight w:val="none"/>
                <w:lang w:eastAsia="zh-CN"/>
              </w:rPr>
            </w:pPr>
            <w:r>
              <w:rPr>
                <w:rFonts w:ascii="Times New Roman" w:hAnsi="Times New Roman" w:eastAsia="仿宋" w:cs="Times New Roman"/>
                <w:b/>
                <w:bCs/>
                <w:spacing w:val="-9"/>
                <w:kern w:val="0"/>
                <w:sz w:val="24"/>
                <w:szCs w:val="24"/>
                <w:highlight w:val="none"/>
              </w:rPr>
              <w:t>绿色</w:t>
            </w:r>
            <w:r>
              <w:rPr>
                <w:rFonts w:hint="eastAsia" w:ascii="Times New Roman" w:hAnsi="Times New Roman" w:eastAsia="仿宋" w:cs="Times New Roman"/>
                <w:b/>
                <w:bCs/>
                <w:spacing w:val="-9"/>
                <w:kern w:val="0"/>
                <w:sz w:val="24"/>
                <w:szCs w:val="24"/>
                <w:highlight w:val="none"/>
                <w:lang w:eastAsia="zh-CN"/>
              </w:rPr>
              <w:t>低碳</w:t>
            </w: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单位</w:t>
            </w:r>
            <w:r>
              <w:rPr>
                <w:rFonts w:hint="eastAsia" w:ascii="Times New Roman" w:hAnsi="Times New Roman" w:eastAsia="仿宋" w:cs="Times New Roman"/>
                <w:kern w:val="0"/>
                <w:sz w:val="24"/>
                <w:szCs w:val="24"/>
                <w:highlight w:val="none"/>
                <w:lang w:val="en-US" w:eastAsia="zh-CN"/>
              </w:rPr>
              <w:t>GDP</w:t>
            </w:r>
            <w:r>
              <w:rPr>
                <w:rFonts w:ascii="Times New Roman" w:hAnsi="Times New Roman" w:eastAsia="仿宋" w:cs="Times New Roman"/>
                <w:kern w:val="0"/>
                <w:sz w:val="24"/>
                <w:szCs w:val="24"/>
                <w:highlight w:val="none"/>
                <w:lang w:eastAsia="zh-CN"/>
              </w:rPr>
              <w:t>二氧化碳排放降低（%</w:t>
            </w:r>
            <w:r>
              <w:rPr>
                <w:rFonts w:hint="eastAsia" w:ascii="Times New Roman" w:hAnsi="Times New Roman" w:eastAsia="仿宋" w:cs="Times New Roman"/>
                <w:kern w:val="0"/>
                <w:sz w:val="24"/>
                <w:szCs w:val="24"/>
                <w:highlight w:val="none"/>
                <w:lang w:eastAsia="zh-CN"/>
              </w:rPr>
              <w:t>）</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kern w:val="0"/>
                <w:sz w:val="24"/>
                <w:szCs w:val="24"/>
                <w:highlight w:val="none"/>
                <w:lang w:eastAsia="zh-CN"/>
              </w:rPr>
            </w:pPr>
            <w:r>
              <w:rPr>
                <w:rFonts w:hint="eastAsia" w:ascii="Times New Roman" w:hAnsi="Times New Roman" w:eastAsia="仿宋" w:cs="Times New Roman"/>
                <w:kern w:val="0"/>
                <w:sz w:val="24"/>
                <w:szCs w:val="24"/>
                <w:highlight w:val="none"/>
                <w:lang w:eastAsia="zh-CN"/>
              </w:rPr>
              <w:t>—</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kern w:val="0"/>
                <w:sz w:val="24"/>
                <w:szCs w:val="24"/>
                <w:highlight w:val="none"/>
                <w:lang w:eastAsia="zh-CN"/>
              </w:rPr>
            </w:pPr>
            <w:r>
              <w:rPr>
                <w:rFonts w:hint="eastAsia" w:ascii="Times New Roman" w:hAnsi="Times New Roman" w:eastAsia="仿宋" w:cs="Times New Roman"/>
                <w:kern w:val="0"/>
                <w:sz w:val="24"/>
                <w:szCs w:val="24"/>
                <w:highlight w:val="none"/>
                <w:lang w:eastAsia="zh-CN"/>
              </w:rPr>
              <w:t>以省市下达任务为准</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rPr>
            </w:pPr>
            <w:r>
              <w:rPr>
                <w:rFonts w:ascii="Times New Roman" w:hAnsi="Times New Roman" w:eastAsia="仿宋" w:cs="Times New Roman"/>
                <w:spacing w:val="3"/>
                <w:kern w:val="0"/>
                <w:sz w:val="24"/>
                <w:szCs w:val="24"/>
                <w:highlight w:val="none"/>
                <w:lang w:eastAsia="zh-CN"/>
              </w:rPr>
              <w:t>预期性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19" w:hRule="atLeast"/>
          <w:jc w:val="center"/>
        </w:trPr>
        <w:tc>
          <w:tcPr>
            <w:tcW w:w="589"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lang w:eastAsia="zh-CN"/>
              </w:rPr>
            </w:pPr>
            <w:r>
              <w:rPr>
                <w:rFonts w:ascii="Times New Roman" w:hAnsi="Times New Roman" w:eastAsia="仿宋" w:cs="Times New Roman"/>
                <w:kern w:val="0"/>
                <w:sz w:val="24"/>
                <w:szCs w:val="24"/>
                <w:highlight w:val="none"/>
                <w:lang w:eastAsia="zh-CN"/>
              </w:rPr>
              <w:t>17</w:t>
            </w:r>
          </w:p>
        </w:tc>
        <w:tc>
          <w:tcPr>
            <w:tcW w:w="589" w:type="dxa"/>
            <w:vMerge w:val="continue"/>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lang w:eastAsia="zh-CN"/>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非化石能源占能源消费总量比重（%）</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kern w:val="0"/>
                <w:sz w:val="24"/>
                <w:szCs w:val="24"/>
                <w:highlight w:val="none"/>
                <w:lang w:eastAsia="zh-CN"/>
              </w:rPr>
            </w:pPr>
            <w:r>
              <w:rPr>
                <w:rFonts w:hint="eastAsia" w:ascii="Times New Roman" w:hAnsi="Times New Roman" w:eastAsia="仿宋" w:cs="Times New Roman"/>
                <w:kern w:val="0"/>
                <w:sz w:val="24"/>
                <w:szCs w:val="24"/>
                <w:highlight w:val="none"/>
                <w:lang w:eastAsia="zh-CN"/>
              </w:rPr>
              <w:t>—</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hint="eastAsia" w:ascii="Times New Roman" w:hAnsi="Times New Roman" w:eastAsia="仿宋" w:cs="Times New Roman"/>
                <w:kern w:val="0"/>
                <w:sz w:val="24"/>
                <w:szCs w:val="24"/>
                <w:highlight w:val="none"/>
                <w:lang w:eastAsia="zh-CN"/>
              </w:rPr>
              <w:t>以省市下达任务为准</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约束性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5"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18</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hint="eastAsia" w:ascii="Times New Roman" w:hAnsi="Times New Roman" w:eastAsia="仿宋" w:cs="Times New Roman"/>
                <w:kern w:val="0"/>
                <w:sz w:val="21"/>
                <w:szCs w:val="21"/>
                <w:highlight w:val="none"/>
                <w:lang w:eastAsia="zh-CN"/>
              </w:rPr>
              <w:t>城市细颗粒物（</w:t>
            </w:r>
            <w:r>
              <w:rPr>
                <w:rFonts w:hint="eastAsia" w:ascii="Times New Roman" w:hAnsi="Times New Roman" w:eastAsia="仿宋" w:cs="Times New Roman"/>
                <w:kern w:val="0"/>
                <w:sz w:val="21"/>
                <w:szCs w:val="21"/>
                <w:highlight w:val="none"/>
                <w:lang w:val="en-US" w:eastAsia="zh-CN"/>
              </w:rPr>
              <w:t>PM2.5</w:t>
            </w:r>
            <w:r>
              <w:rPr>
                <w:rFonts w:hint="eastAsia" w:ascii="Times New Roman" w:hAnsi="Times New Roman" w:eastAsia="仿宋" w:cs="Times New Roman"/>
                <w:kern w:val="0"/>
                <w:sz w:val="21"/>
                <w:szCs w:val="21"/>
                <w:highlight w:val="none"/>
                <w:lang w:eastAsia="zh-CN"/>
              </w:rPr>
              <w:t>）浓度</w:t>
            </w:r>
            <w:r>
              <w:rPr>
                <w:rFonts w:ascii="Times New Roman" w:hAnsi="Times New Roman" w:eastAsia="仿宋" w:cs="Times New Roman"/>
                <w:kern w:val="0"/>
                <w:sz w:val="21"/>
                <w:szCs w:val="21"/>
                <w:highlight w:val="none"/>
                <w:lang w:eastAsia="zh-CN"/>
              </w:rPr>
              <w:t>（</w:t>
            </w:r>
            <w:r>
              <w:rPr>
                <w:rFonts w:hint="eastAsia" w:ascii="Times New Roman" w:hAnsi="Times New Roman" w:eastAsia="仿宋" w:cs="Times New Roman"/>
                <w:kern w:val="0"/>
                <w:sz w:val="21"/>
                <w:szCs w:val="21"/>
                <w:highlight w:val="none"/>
                <w:lang w:eastAsia="zh-CN"/>
              </w:rPr>
              <w:t>微克</w:t>
            </w:r>
            <w:r>
              <w:rPr>
                <w:rFonts w:hint="eastAsia" w:ascii="Times New Roman" w:hAnsi="Times New Roman" w:eastAsia="仿宋" w:cs="Times New Roman"/>
                <w:kern w:val="0"/>
                <w:sz w:val="21"/>
                <w:szCs w:val="21"/>
                <w:highlight w:val="none"/>
                <w:lang w:val="en-US" w:eastAsia="zh-CN"/>
              </w:rPr>
              <w:t>/立方米</w:t>
            </w:r>
            <w:r>
              <w:rPr>
                <w:rFonts w:ascii="Times New Roman" w:hAnsi="Times New Roman" w:eastAsia="仿宋" w:cs="Times New Roman"/>
                <w:kern w:val="0"/>
                <w:sz w:val="21"/>
                <w:szCs w:val="21"/>
                <w:highlight w:val="none"/>
                <w:lang w:eastAsia="zh-CN"/>
              </w:rPr>
              <w:t>）</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24.1</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hint="eastAsia" w:ascii="Times New Roman" w:hAnsi="Times New Roman" w:eastAsia="仿宋" w:cs="Times New Roman"/>
                <w:kern w:val="0"/>
                <w:sz w:val="24"/>
                <w:szCs w:val="24"/>
                <w:highlight w:val="none"/>
                <w:lang w:eastAsia="zh-CN"/>
              </w:rPr>
              <w:t>以省市下达任务为准</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约束性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67"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19</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lang w:eastAsia="zh-CN"/>
              </w:rPr>
              <w:t>优良水体比例（%）</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100</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hint="eastAsia" w:ascii="Times New Roman" w:hAnsi="Times New Roman" w:eastAsia="仿宋" w:cs="Times New Roman"/>
                <w:kern w:val="0"/>
                <w:sz w:val="24"/>
                <w:szCs w:val="24"/>
                <w:highlight w:val="none"/>
                <w:lang w:eastAsia="zh-CN"/>
              </w:rPr>
              <w:t>以省市下达任务为准</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约束性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20</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森林覆盖率（%）</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70.41</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kern w:val="0"/>
                <w:sz w:val="24"/>
                <w:szCs w:val="24"/>
                <w:highlight w:val="none"/>
              </w:rPr>
              <w:t>≥7</w:t>
            </w:r>
            <w:r>
              <w:rPr>
                <w:rFonts w:ascii="Times New Roman" w:hAnsi="Times New Roman" w:eastAsia="仿宋" w:cs="Times New Roman"/>
                <w:kern w:val="0"/>
                <w:sz w:val="24"/>
                <w:szCs w:val="24"/>
                <w:highlight w:val="none"/>
                <w:lang w:eastAsia="zh-CN"/>
              </w:rPr>
              <w:t>1</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约束性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0" w:hRule="atLeast"/>
          <w:jc w:val="center"/>
        </w:trPr>
        <w:tc>
          <w:tcPr>
            <w:tcW w:w="589"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rPr>
            </w:pPr>
            <w:r>
              <w:rPr>
                <w:rFonts w:ascii="Times New Roman" w:hAnsi="Times New Roman" w:eastAsia="仿宋" w:cs="Times New Roman"/>
                <w:kern w:val="0"/>
                <w:sz w:val="24"/>
                <w:szCs w:val="24"/>
                <w:highlight w:val="none"/>
              </w:rPr>
              <w:t>2</w:t>
            </w:r>
            <w:r>
              <w:rPr>
                <w:rFonts w:ascii="Times New Roman" w:hAnsi="Times New Roman" w:eastAsia="仿宋" w:cs="Times New Roman"/>
                <w:kern w:val="0"/>
                <w:sz w:val="24"/>
                <w:szCs w:val="24"/>
                <w:highlight w:val="none"/>
                <w:lang w:eastAsia="zh-CN"/>
              </w:rPr>
              <w:t>1</w:t>
            </w:r>
          </w:p>
        </w:tc>
        <w:tc>
          <w:tcPr>
            <w:tcW w:w="589" w:type="dxa"/>
            <w:vMerge w:val="restart"/>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b/>
                <w:bCs/>
                <w:spacing w:val="-9"/>
                <w:kern w:val="0"/>
                <w:sz w:val="24"/>
                <w:szCs w:val="24"/>
                <w:highlight w:val="none"/>
                <w:lang w:eastAsia="zh-CN"/>
              </w:rPr>
            </w:pPr>
            <w:r>
              <w:rPr>
                <w:rFonts w:ascii="Times New Roman" w:hAnsi="Times New Roman" w:eastAsia="仿宋" w:cs="Times New Roman"/>
                <w:b/>
                <w:bCs/>
                <w:spacing w:val="-9"/>
                <w:kern w:val="0"/>
                <w:sz w:val="24"/>
                <w:szCs w:val="24"/>
                <w:highlight w:val="none"/>
              </w:rPr>
              <w:t>安全保障</w:t>
            </w: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粮食综合生产能力（万吨）</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8.35</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spacing w:val="3"/>
                <w:kern w:val="0"/>
                <w:sz w:val="24"/>
                <w:szCs w:val="24"/>
                <w:highlight w:val="none"/>
                <w:lang w:val="en-US" w:eastAsia="zh-CN"/>
              </w:rPr>
            </w:pPr>
            <w:r>
              <w:rPr>
                <w:rFonts w:ascii="Times New Roman" w:hAnsi="Times New Roman" w:eastAsia="仿宋" w:cs="Times New Roman"/>
                <w:kern w:val="0"/>
                <w:sz w:val="24"/>
                <w:szCs w:val="24"/>
                <w:highlight w:val="none"/>
                <w:lang w:eastAsia="zh-CN"/>
              </w:rPr>
              <w:t>8.</w:t>
            </w:r>
            <w:r>
              <w:rPr>
                <w:rFonts w:hint="eastAsia" w:ascii="Times New Roman" w:hAnsi="Times New Roman" w:eastAsia="仿宋" w:cs="Times New Roman"/>
                <w:kern w:val="0"/>
                <w:sz w:val="24"/>
                <w:szCs w:val="24"/>
                <w:highlight w:val="none"/>
                <w:lang w:val="en-US" w:eastAsia="zh-CN"/>
              </w:rPr>
              <w:t>5</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约束性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1"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22</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能源综合生产能力（万吨标准煤）</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hint="eastAsia" w:ascii="Times New Roman" w:hAnsi="Times New Roman" w:eastAsia="仿宋" w:cs="Times New Roman"/>
                <w:kern w:val="0"/>
                <w:sz w:val="24"/>
                <w:szCs w:val="24"/>
                <w:highlight w:val="none"/>
                <w:lang w:eastAsia="zh-CN"/>
              </w:rPr>
              <w:t>—</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高于全省平均</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spacing w:val="3"/>
                <w:kern w:val="0"/>
                <w:sz w:val="24"/>
                <w:szCs w:val="24"/>
                <w:highlight w:val="none"/>
                <w:lang w:eastAsia="zh-CN"/>
              </w:rPr>
            </w:pPr>
            <w:r>
              <w:rPr>
                <w:rFonts w:ascii="Times New Roman" w:hAnsi="Times New Roman" w:eastAsia="仿宋" w:cs="Times New Roman"/>
                <w:spacing w:val="3"/>
                <w:kern w:val="0"/>
                <w:sz w:val="24"/>
                <w:szCs w:val="24"/>
                <w:highlight w:val="none"/>
              </w:rPr>
              <w:t>约束性</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31" w:hRule="atLeast"/>
          <w:jc w:val="center"/>
        </w:trPr>
        <w:tc>
          <w:tcPr>
            <w:tcW w:w="589"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kern w:val="0"/>
                <w:sz w:val="24"/>
                <w:szCs w:val="24"/>
                <w:highlight w:val="none"/>
              </w:rPr>
              <w:t>23</w:t>
            </w:r>
          </w:p>
        </w:tc>
        <w:tc>
          <w:tcPr>
            <w:tcW w:w="589"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p>
        </w:tc>
        <w:tc>
          <w:tcPr>
            <w:tcW w:w="4524" w:type="dxa"/>
            <w:gridSpan w:val="2"/>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lang w:eastAsia="zh-CN"/>
              </w:rPr>
            </w:pPr>
            <w:r>
              <w:rPr>
                <w:rFonts w:ascii="Times New Roman" w:hAnsi="Times New Roman" w:eastAsia="仿宋" w:cs="Times New Roman"/>
                <w:kern w:val="0"/>
                <w:sz w:val="24"/>
                <w:szCs w:val="24"/>
                <w:highlight w:val="none"/>
                <w:lang w:eastAsia="zh-CN"/>
              </w:rPr>
              <w:t>亿元地区生产总值生产安全事故死亡率（人/亿元）</w:t>
            </w:r>
          </w:p>
        </w:tc>
        <w:tc>
          <w:tcPr>
            <w:tcW w:w="1280"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仿宋" w:cs="Times New Roman"/>
                <w:kern w:val="0"/>
                <w:sz w:val="24"/>
                <w:szCs w:val="24"/>
                <w:highlight w:val="none"/>
                <w:lang w:val="en-US" w:eastAsia="zh-CN"/>
              </w:rPr>
            </w:pPr>
            <w:r>
              <w:rPr>
                <w:rFonts w:hint="eastAsia" w:ascii="Times New Roman" w:hAnsi="Times New Roman" w:eastAsia="仿宋" w:cs="Times New Roman"/>
                <w:kern w:val="0"/>
                <w:sz w:val="24"/>
                <w:szCs w:val="24"/>
                <w:highlight w:val="none"/>
                <w:lang w:val="en-US" w:eastAsia="zh-CN"/>
              </w:rPr>
              <w:t>0</w:t>
            </w:r>
          </w:p>
        </w:tc>
        <w:tc>
          <w:tcPr>
            <w:tcW w:w="1494"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仿宋" w:cs="Times New Roman"/>
                <w:spacing w:val="3"/>
                <w:kern w:val="0"/>
                <w:sz w:val="24"/>
                <w:szCs w:val="24"/>
                <w:highlight w:val="none"/>
                <w:lang w:val="en-US" w:eastAsia="zh-CN"/>
              </w:rPr>
            </w:pPr>
            <w:r>
              <w:rPr>
                <w:rFonts w:hint="eastAsia" w:ascii="Times New Roman" w:hAnsi="Times New Roman" w:eastAsia="仿宋" w:cs="Times New Roman"/>
                <w:spacing w:val="3"/>
                <w:kern w:val="0"/>
                <w:sz w:val="24"/>
                <w:szCs w:val="24"/>
                <w:highlight w:val="none"/>
                <w:lang w:val="en-US" w:eastAsia="zh-CN"/>
              </w:rPr>
              <w:t>[-0.15]</w:t>
            </w:r>
          </w:p>
        </w:tc>
        <w:tc>
          <w:tcPr>
            <w:tcW w:w="895" w:type="dxa"/>
            <w:noWrap w:val="0"/>
            <w:vAlign w:val="center"/>
          </w:tcPr>
          <w:p>
            <w:pPr>
              <w:pStyle w:val="43"/>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Times New Roman" w:hAnsi="Times New Roman" w:eastAsia="仿宋" w:cs="Times New Roman"/>
                <w:kern w:val="0"/>
                <w:sz w:val="24"/>
                <w:szCs w:val="24"/>
                <w:highlight w:val="none"/>
              </w:rPr>
            </w:pPr>
            <w:r>
              <w:rPr>
                <w:rFonts w:ascii="Times New Roman" w:hAnsi="Times New Roman" w:eastAsia="仿宋" w:cs="Times New Roman"/>
                <w:spacing w:val="3"/>
                <w:kern w:val="0"/>
                <w:sz w:val="24"/>
                <w:szCs w:val="24"/>
                <w:highlight w:val="none"/>
              </w:rPr>
              <w:t>约束性</w:t>
            </w:r>
          </w:p>
        </w:tc>
      </w:tr>
      <w:bookmarkEnd w:id="62"/>
      <w:bookmarkEnd w:id="63"/>
    </w:tbl>
    <w:p>
      <w:pPr>
        <w:rPr>
          <w:highlight w:val="yellow"/>
        </w:rPr>
      </w:pPr>
      <w:r>
        <w:rPr>
          <w:rFonts w:hint="eastAsia"/>
          <w:lang w:val="en-US" w:eastAsia="zh-CN"/>
        </w:rPr>
        <w:t>1.“[]”为五年累计数。2.能源综合生产能力统计口径对标省市进行调整。</w:t>
      </w:r>
    </w:p>
    <w:p>
      <w:pPr>
        <w:pStyle w:val="25"/>
        <w:sectPr>
          <w:headerReference r:id="rId9" w:type="default"/>
          <w:footerReference r:id="rId10" w:type="default"/>
          <w:footerReference r:id="rId11" w:type="even"/>
          <w:type w:val="continuous"/>
          <w:pgSz w:w="11906" w:h="16838"/>
          <w:pgMar w:top="1440" w:right="1800" w:bottom="1440" w:left="1800" w:header="851" w:footer="992" w:gutter="0"/>
          <w:pgNumType w:fmt="decimal" w:start="1"/>
          <w:cols w:space="425" w:num="1"/>
          <w:docGrid w:type="lines" w:linePitch="312" w:charSpace="0"/>
        </w:sectPr>
      </w:pPr>
    </w:p>
    <w:p>
      <w:pPr>
        <w:pStyle w:val="24"/>
        <w:numPr>
          <w:ilvl w:val="0"/>
          <w:numId w:val="1"/>
        </w:numPr>
      </w:pPr>
      <w:bookmarkStart w:id="64" w:name="_Toc216945807"/>
      <w:r>
        <w:t>践行使命担当 锻造向西开放战略桥头堡</w:t>
      </w:r>
      <w:bookmarkEnd w:id="64"/>
    </w:p>
    <w:p>
      <w:pPr>
        <w:pStyle w:val="25"/>
        <w:ind w:firstLine="600"/>
        <w:rPr>
          <w:rFonts w:ascii="Times New Roman" w:hAnsi="Times New Roman" w:cs="Times New Roman"/>
        </w:rPr>
      </w:pPr>
      <w:r>
        <w:rPr>
          <w:rFonts w:ascii="Times New Roman" w:hAnsi="Times New Roman" w:cs="Times New Roman"/>
        </w:rPr>
        <w:t>锚定“对接西部陆海新通道战略桥头堡”能级提升目标，以制度型开放为引领，以枢纽能级提升为核心，以区域协同发展为路径，从融入国家战略、深化区域合作、担当湘黔协作主力军三方面系统发力，打造更具辐射力、带动力和竞争力的内陆开放新高地。</w:t>
      </w:r>
    </w:p>
    <w:p>
      <w:pPr>
        <w:pStyle w:val="29"/>
        <w:numPr>
          <w:ilvl w:val="0"/>
          <w:numId w:val="3"/>
        </w:numPr>
        <w:rPr>
          <w:rFonts w:ascii="Times New Roman" w:hAnsi="Times New Roman" w:cs="Times New Roman"/>
        </w:rPr>
      </w:pPr>
      <w:bookmarkStart w:id="65" w:name="_Toc216945808"/>
      <w:r>
        <w:rPr>
          <w:rFonts w:ascii="Times New Roman" w:hAnsi="Times New Roman" w:cs="Times New Roman"/>
        </w:rPr>
        <w:t>对接国家发展大战略</w:t>
      </w:r>
      <w:bookmarkEnd w:id="65"/>
    </w:p>
    <w:p>
      <w:pPr>
        <w:pStyle w:val="25"/>
        <w:ind w:firstLine="602"/>
        <w:rPr>
          <w:rFonts w:ascii="Times New Roman" w:hAnsi="Times New Roman" w:cs="Times New Roman"/>
        </w:rPr>
      </w:pPr>
      <w:r>
        <w:rPr>
          <w:rFonts w:ascii="Times New Roman" w:hAnsi="Times New Roman" w:eastAsia="楷体" w:cs="Times New Roman"/>
          <w:b/>
          <w:bCs/>
          <w:lang w:val="en-GB"/>
        </w:rPr>
        <w:t>对接西部陆海新通道建设。</w:t>
      </w:r>
      <w:r>
        <w:rPr>
          <w:rFonts w:ascii="Times New Roman" w:hAnsi="Times New Roman" w:cs="Times New Roman"/>
          <w:lang w:val="en-GB"/>
        </w:rPr>
        <w:t>以怀化国际陆港西翼重要枢纽为定位，</w:t>
      </w:r>
      <w:r>
        <w:rPr>
          <w:rFonts w:ascii="Times New Roman" w:hAnsi="Times New Roman" w:cs="Times New Roman"/>
        </w:rPr>
        <w:t>做好枢纽功能强化、通道价值挖掘、开放生态培育三篇大文章，不断增强新晃在西部陆海新通道中的吸附力、辐射力、竞争力</w:t>
      </w:r>
      <w:r>
        <w:rPr>
          <w:rFonts w:ascii="Times New Roman" w:hAnsi="Times New Roman" w:cs="Times New Roman"/>
          <w:lang w:val="en-GB"/>
        </w:rPr>
        <w:t>。</w:t>
      </w:r>
      <w:r>
        <w:rPr>
          <w:rFonts w:ascii="Times New Roman" w:hAnsi="Times New Roman" w:cs="Times New Roman"/>
          <w:b/>
          <w:bCs/>
        </w:rPr>
        <w:t>高标准建设陆港型综合服务枢纽。</w:t>
      </w:r>
      <w:r>
        <w:rPr>
          <w:rFonts w:ascii="Times New Roman" w:hAnsi="Times New Roman" w:cs="Times New Roman"/>
          <w:lang w:val="en-GB"/>
        </w:rPr>
        <w:t>加快新晃港二期扩能工程，推进与怀化国际陆港“规划同图、设施同网、运营同频”。开通至北部湾港</w:t>
      </w:r>
      <w:r>
        <w:rPr>
          <w:rFonts w:hint="eastAsia" w:ascii="Times New Roman" w:hAnsi="Times New Roman" w:cs="Times New Roman"/>
          <w:lang w:val="en-GB"/>
        </w:rPr>
        <w:t>、</w:t>
      </w:r>
      <w:r>
        <w:rPr>
          <w:rFonts w:ascii="Times New Roman" w:hAnsi="Times New Roman" w:cs="Times New Roman"/>
          <w:lang w:val="en-GB"/>
        </w:rPr>
        <w:t>粤港澳大湾区的“五定班列”，打造对接东盟的国际物流大通道。设立RCEP跨境贸易服务中心，集成报关、结汇、退税等“一站式”服务。争取怀化B型保税物流中心增设“新晃分区”，探索“两地通关、一体化监管”模式</w:t>
      </w:r>
      <w:r>
        <w:rPr>
          <w:rFonts w:ascii="Times New Roman" w:hAnsi="Times New Roman" w:eastAsia="楷体" w:cs="Times New Roman"/>
          <w:b/>
          <w:bCs/>
          <w:lang w:val="en-GB"/>
        </w:rPr>
        <w:t>。</w:t>
      </w:r>
      <w:r>
        <w:rPr>
          <w:rFonts w:ascii="Times New Roman" w:hAnsi="Times New Roman" w:cs="Times New Roman"/>
          <w:b/>
          <w:bCs/>
        </w:rPr>
        <w:t>深度融入通道产业链供应链价值链。</w:t>
      </w:r>
      <w:r>
        <w:rPr>
          <w:rFonts w:ascii="Times New Roman" w:hAnsi="Times New Roman" w:cs="Times New Roman"/>
          <w:lang w:val="en-GB"/>
        </w:rPr>
        <w:t>以西部陆海新通道为纽带，向北对接成渝地区双城经济圈，向南对接北部湾经济区，全面融入重庆经怀化、柳州至北部湾出海口的东向通道建设</w:t>
      </w:r>
      <w:r>
        <w:rPr>
          <w:rFonts w:ascii="Times New Roman" w:hAnsi="Times New Roman" w:cs="Times New Roman"/>
        </w:rPr>
        <w:t>。推动更多新晃名特优新产品纳入西部陆海新通道“陆港优品”目录。探索“前港后厂”模式，在陆港周边布局保税研发、跨境检测维修等高附加值业态。</w:t>
      </w:r>
      <w:r>
        <w:rPr>
          <w:rFonts w:ascii="Times New Roman" w:hAnsi="Times New Roman" w:cs="Times New Roman"/>
          <w:b/>
          <w:bCs/>
        </w:rPr>
        <w:t>拓展多元化国际合作空间。</w:t>
      </w:r>
      <w:bookmarkStart w:id="66" w:name="OLE_LINK1"/>
      <w:r>
        <w:rPr>
          <w:rFonts w:ascii="Times New Roman" w:hAnsi="Times New Roman" w:cs="Times New Roman"/>
        </w:rPr>
        <w:t>扩大东盟农产品进口业务，联合贵州玉屏、大龙共建“湘黔边RCEP合作试验区”，共办中国—东盟特色商品展销会。与广西北部湾港务集团、陆海新通道运营公司签署战略协议，共享海外仓资源与航线网络。依托“湘品出海”工程，组织本地企业参与越南、老挝等东盟国家经贸对接会。</w:t>
      </w:r>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25"/>
              <w:ind w:firstLine="0" w:firstLineChars="0"/>
              <w:jc w:val="center"/>
              <w:rPr>
                <w:rFonts w:ascii="Times New Roman" w:hAnsi="Times New Roman" w:cs="Times New Roman"/>
                <w:b/>
                <w:bCs/>
              </w:rPr>
            </w:pPr>
            <w:r>
              <w:rPr>
                <w:rFonts w:ascii="Times New Roman" w:hAnsi="Times New Roman" w:cs="Times New Roman"/>
                <w:b/>
                <w:bCs/>
              </w:rPr>
              <w:t>专栏一：陆港枢纽攻坚工程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46"/>
              <w:ind w:firstLine="562"/>
              <w:rPr>
                <w:rFonts w:ascii="Times New Roman" w:hAnsi="Times New Roman" w:cs="Times New Roman"/>
                <w:bCs w:val="0"/>
              </w:rPr>
            </w:pPr>
            <w:r>
              <w:rPr>
                <w:rFonts w:ascii="Times New Roman" w:hAnsi="Times New Roman" w:cs="Times New Roman"/>
                <w:b/>
              </w:rPr>
              <w:t>核心枢纽能级提升工程。</w:t>
            </w:r>
            <w:r>
              <w:rPr>
                <w:rFonts w:ascii="Times New Roman" w:hAnsi="Times New Roman" w:cs="Times New Roman"/>
                <w:bCs w:val="0"/>
              </w:rPr>
              <w:t>聚焦打造陆港功能的实体核心，高标准建设怀化国际陆港（新晃港）、大新公铁联运物流园，全面建成包括铁路专用线、现代化仓储、交易集散中心及配套基础设施项目，实现与怀化国际陆港的“无缝对接”，形成服务湘黔边区的公铁联运枢纽和区域物流组织中心。</w:t>
            </w:r>
          </w:p>
          <w:p>
            <w:pPr>
              <w:pStyle w:val="46"/>
              <w:ind w:firstLine="562"/>
              <w:rPr>
                <w:rFonts w:ascii="Times New Roman" w:hAnsi="Times New Roman" w:cs="Times New Roman"/>
                <w:b/>
              </w:rPr>
            </w:pPr>
            <w:r>
              <w:rPr>
                <w:rFonts w:ascii="Times New Roman" w:hAnsi="Times New Roman" w:cs="Times New Roman"/>
                <w:b/>
              </w:rPr>
              <w:t>集货疏运网络畅通工程。</w:t>
            </w:r>
            <w:r>
              <w:rPr>
                <w:rFonts w:ascii="Times New Roman" w:hAnsi="Times New Roman" w:cs="Times New Roman"/>
                <w:bCs w:val="0"/>
              </w:rPr>
              <w:t>构建服务陆港、辐射周边的高效集货疏运网络。加快建设五省边区农产品冷链物流枢纽和武陵山片区农副食品冷链物流中心，强化冷链物流骨干支撑。通过园区智慧物流枢纽项目优化产业物流服务，全面增强向怀化国际陆港和西部陆海新通道的集货与疏运能力。</w:t>
            </w:r>
          </w:p>
          <w:p>
            <w:pPr>
              <w:pStyle w:val="46"/>
              <w:ind w:firstLine="562"/>
              <w:rPr>
                <w:rFonts w:ascii="Times New Roman" w:hAnsi="Times New Roman" w:cs="Times New Roman"/>
                <w:bCs w:val="0"/>
              </w:rPr>
            </w:pPr>
            <w:r>
              <w:rPr>
                <w:rFonts w:ascii="Times New Roman" w:hAnsi="Times New Roman" w:cs="Times New Roman"/>
                <w:b/>
              </w:rPr>
              <w:t>临港产业与配套强化工程。</w:t>
            </w:r>
            <w:r>
              <w:rPr>
                <w:rFonts w:ascii="Times New Roman" w:hAnsi="Times New Roman" w:cs="Times New Roman"/>
                <w:bCs w:val="0"/>
              </w:rPr>
              <w:t>增强陆港枢纽的产业转化与发展承载力。进一步完善临港片区基础设施，建设一批标准厂房。大力发展物流总部经济、物流服务经济、物流衍生经济三大临港经济业态，吸引来料加工、报关报检、仓储分拨、</w:t>
            </w:r>
            <w:r>
              <w:rPr>
                <w:rFonts w:ascii="Times New Roman" w:hAnsi="Times New Roman" w:cs="Times New Roman"/>
              </w:rPr>
              <w:t>信息咨询等企业入驻。</w:t>
            </w:r>
            <w:r>
              <w:rPr>
                <w:rFonts w:ascii="Times New Roman" w:hAnsi="Times New Roman" w:cs="Times New Roman"/>
                <w:bCs w:val="0"/>
              </w:rPr>
              <w:t>实施新晃滨水廊道等配套工程，优化临港片区环境，提升综合服务功能，实现“以港聚产、以产兴城”的良性发展。</w:t>
            </w:r>
          </w:p>
        </w:tc>
      </w:tr>
    </w:tbl>
    <w:p>
      <w:pPr>
        <w:pStyle w:val="25"/>
        <w:ind w:firstLine="602"/>
        <w:rPr>
          <w:rFonts w:ascii="Times New Roman" w:hAnsi="Times New Roman" w:eastAsia="楷体" w:cs="Times New Roman"/>
          <w:b/>
          <w:bCs/>
          <w:lang w:val="en-GB"/>
        </w:rPr>
      </w:pPr>
      <w:r>
        <w:rPr>
          <w:rFonts w:ascii="Times New Roman" w:hAnsi="Times New Roman" w:eastAsia="楷体" w:cs="Times New Roman"/>
          <w:b/>
          <w:bCs/>
          <w:lang w:val="en-GB"/>
        </w:rPr>
        <w:t>争取纳入国家战略腹地建设和关键产业备份布局</w:t>
      </w:r>
      <w:bookmarkEnd w:id="66"/>
      <w:r>
        <w:rPr>
          <w:rFonts w:ascii="Times New Roman" w:hAnsi="Times New Roman" w:eastAsia="楷体" w:cs="Times New Roman"/>
          <w:b/>
          <w:bCs/>
          <w:lang w:val="en-GB"/>
        </w:rPr>
        <w:t>。</w:t>
      </w:r>
      <w:r>
        <w:rPr>
          <w:rFonts w:ascii="Times New Roman" w:hAnsi="Times New Roman" w:cs="Times New Roman"/>
          <w:lang w:val="en-GB"/>
        </w:rPr>
        <w:t>依托丰富的重晶石、钾长石资源，用好化工园区这一独特优势和“金字招牌”，积极争取纳入国家关键矿产及化工材料备份布局。围绕钡系新材料、精细化工、生物基化工新材料等领域，有针对性地做好新一轮沿海产业转移承接工作，引进一批具有关键核心技术和生态主导能力的龙头企业。持续</w:t>
      </w:r>
      <w:r>
        <w:rPr>
          <w:rFonts w:ascii="Times New Roman" w:hAnsi="Times New Roman" w:cs="Times New Roman"/>
        </w:rPr>
        <w:t>延链、补链、强链，提升产业链的完整性和抗风险能力</w:t>
      </w:r>
      <w:r>
        <w:rPr>
          <w:rFonts w:ascii="Times New Roman" w:hAnsi="Times New Roman" w:cs="Times New Roman"/>
          <w:lang w:val="en-GB"/>
        </w:rPr>
        <w:t>。开展高纯钡盐、军工级防辐射材料等核心技术攻关，为军民融合发展提供技术储备。融入大湘西地区对接成渝地区双城经济圈的整体战略布局，加强与贵州、重庆等地的产业链协作，形成“备份+互补”格局。参与国家战略性矿产资源安全保障体系建设，提升在国家和区域产业链供应链中的战略地位。</w:t>
      </w:r>
    </w:p>
    <w:p>
      <w:pPr>
        <w:pStyle w:val="29"/>
        <w:numPr>
          <w:ilvl w:val="0"/>
          <w:numId w:val="3"/>
        </w:numPr>
        <w:rPr>
          <w:rFonts w:ascii="Times New Roman" w:hAnsi="Times New Roman" w:cs="Times New Roman"/>
        </w:rPr>
      </w:pPr>
      <w:bookmarkStart w:id="67" w:name="_Toc216945809"/>
      <w:r>
        <w:rPr>
          <w:rFonts w:ascii="Times New Roman" w:hAnsi="Times New Roman" w:cs="Times New Roman"/>
        </w:rPr>
        <w:t>融入区域发展大版图</w:t>
      </w:r>
      <w:bookmarkEnd w:id="67"/>
    </w:p>
    <w:p>
      <w:pPr>
        <w:pStyle w:val="25"/>
        <w:ind w:firstLine="602"/>
        <w:rPr>
          <w:rFonts w:ascii="Times New Roman" w:hAnsi="Times New Roman" w:cs="Times New Roman"/>
        </w:rPr>
      </w:pPr>
      <w:r>
        <w:rPr>
          <w:rFonts w:ascii="Times New Roman" w:hAnsi="Times New Roman" w:eastAsia="楷体" w:cs="Times New Roman"/>
          <w:b/>
          <w:bCs/>
          <w:lang w:val="en-GB"/>
        </w:rPr>
        <w:t>紧跟湖南“三高四新”步伐。</w:t>
      </w:r>
      <w:r>
        <w:rPr>
          <w:rFonts w:ascii="Times New Roman" w:hAnsi="Times New Roman" w:cs="Times New Roman"/>
        </w:rPr>
        <w:t>主动对接湖南省先进制造业高地梯度培育体系，做强钡系新材料、新型铁合金等产业链，提升在省级标志性工程中的参与度和贡献度。积极链接“4+4科创工程”等高能级创新平台，围绕新晃产业需求开展协同攻关与成果转化，培育地方新质生产力。依托中国（湖南）自由贸易试验区、中非经贸深度合作先行区等开放平台，推动制度型开放与系统集成改革，助力新晃产品与服务更高效“走出去”，实现对外开放新突破。</w:t>
      </w:r>
    </w:p>
    <w:p>
      <w:pPr>
        <w:pStyle w:val="25"/>
        <w:ind w:firstLine="602"/>
        <w:rPr>
          <w:rFonts w:ascii="Times New Roman" w:hAnsi="Times New Roman" w:cs="Times New Roman"/>
        </w:rPr>
      </w:pPr>
      <w:r>
        <w:rPr>
          <w:rFonts w:ascii="Times New Roman" w:hAnsi="Times New Roman" w:eastAsia="楷体" w:cs="Times New Roman"/>
          <w:b/>
          <w:bCs/>
          <w:lang w:val="en-GB"/>
        </w:rPr>
        <w:t>融入大湘西片区发展。</w:t>
      </w:r>
      <w:r>
        <w:rPr>
          <w:rFonts w:ascii="Times New Roman" w:hAnsi="Times New Roman" w:cs="Times New Roman"/>
        </w:rPr>
        <w:t>共建“大湘西生态产品价值实现基地”，将新晃的有机农产品、生态林纳入片区统一认证体系，对接高端消费市场。参与“张吉怀精品生态文化旅游经济带”建设，联动凤凰、吉首、张家界等知名旅游目的地，共同开发跨区域旅游线路和产品。融入大湘西中药材产业带，与湘西州、张家界等地共建中药材种植标准体系和产销网络，联合开发“湘西侗药”系列产品。加强与怀化市区及周边县市在基础设施互联互通、产业协同配套、生态环境共保联治、公共服务共建共享等方面的合作，实现优势互补、错位发展，共同提升大湘西板块整体竞争力。</w:t>
      </w:r>
    </w:p>
    <w:p>
      <w:pPr>
        <w:pStyle w:val="29"/>
        <w:numPr>
          <w:ilvl w:val="0"/>
          <w:numId w:val="3"/>
        </w:numPr>
        <w:rPr>
          <w:rFonts w:ascii="Times New Roman" w:hAnsi="Times New Roman" w:cs="Times New Roman"/>
        </w:rPr>
      </w:pPr>
      <w:bookmarkStart w:id="68" w:name="_Toc216945810"/>
      <w:r>
        <w:rPr>
          <w:rFonts w:ascii="Times New Roman" w:hAnsi="Times New Roman" w:cs="Times New Roman"/>
        </w:rPr>
        <w:t>担当湘黔合作主力军</w:t>
      </w:r>
      <w:bookmarkEnd w:id="68"/>
    </w:p>
    <w:p>
      <w:pPr>
        <w:pStyle w:val="25"/>
        <w:ind w:firstLine="600"/>
        <w:rPr>
          <w:rFonts w:ascii="Times New Roman" w:hAnsi="Times New Roman" w:cs="Times New Roman"/>
          <w:lang w:val="en-GB"/>
        </w:rPr>
      </w:pPr>
      <w:r>
        <w:rPr>
          <w:rFonts w:ascii="Times New Roman" w:hAnsi="Times New Roman" w:cs="Times New Roman"/>
          <w:lang w:val="en-GB"/>
        </w:rPr>
        <w:t>在怀化市推动“湘鄂渝黔”毗邻地区合作、打造“五省边区区域性中心城市”的战略布局中，扛大旗、挑大梁、当主角。既要成为湘黔协作的参与者，更要成为规则的共同制定者、资源的整合者、红利的创造分享者、模式和经验的输出者，全力打造中西部省际协作的“新晃样板”。</w:t>
      </w:r>
    </w:p>
    <w:p>
      <w:pPr>
        <w:pStyle w:val="25"/>
        <w:ind w:firstLine="602"/>
        <w:rPr>
          <w:rFonts w:ascii="Times New Roman" w:hAnsi="Times New Roman" w:cs="Times New Roman"/>
          <w:lang w:val="en-GB"/>
        </w:rPr>
      </w:pPr>
      <w:r>
        <w:rPr>
          <w:rFonts w:ascii="Times New Roman" w:hAnsi="Times New Roman" w:eastAsia="楷体" w:cs="Times New Roman"/>
          <w:b/>
          <w:bCs/>
          <w:lang w:val="en-GB"/>
        </w:rPr>
        <w:t>放大示范区的先行优势。</w:t>
      </w:r>
      <w:r>
        <w:rPr>
          <w:rFonts w:ascii="Times New Roman" w:hAnsi="Times New Roman" w:cs="Times New Roman"/>
          <w:lang w:val="en-GB"/>
        </w:rPr>
        <w:t>加快“新时代湘黔大（龙）新（晃）经济协作示范园”建设，深化与贵州“五县两区”创新合作发展，打造省际边界合作示范标杆。重点推动示范园在空间规划、基础设施、产业布局、公共服务等方面实现一体化协同，联合编制实施合作区发展规划，争取在项目审批、市场准入、标准互认等方面获得省级授权先行先试。积极推动示范园上升为湘黔两省共建重点平台，争取纳入西部大开发、中部崛起等国家战略政策支持范围，争取重大政策试点和重大项目布局，形成强大的先发优势和示范效应。</w:t>
      </w:r>
    </w:p>
    <w:p>
      <w:pPr>
        <w:pStyle w:val="25"/>
        <w:ind w:firstLine="602"/>
        <w:rPr>
          <w:rFonts w:ascii="Times New Roman" w:hAnsi="Times New Roman" w:cs="Times New Roman"/>
          <w:lang w:val="en-GB"/>
        </w:rPr>
      </w:pPr>
      <w:r>
        <w:rPr>
          <w:rFonts w:ascii="Times New Roman" w:hAnsi="Times New Roman" w:eastAsia="楷体" w:cs="Times New Roman"/>
          <w:b/>
          <w:bCs/>
          <w:lang w:val="en-GB"/>
        </w:rPr>
        <w:t>强化试验田的先导功能。</w:t>
      </w:r>
      <w:r>
        <w:rPr>
          <w:rFonts w:ascii="Times New Roman" w:hAnsi="Times New Roman" w:cs="Times New Roman"/>
          <w:lang w:val="en-GB"/>
        </w:rPr>
        <w:t>勇担改革试点重任，积极探索省际协作体制机制创新。重点突破土地管理、环保监管、税收分成等关键制度壁垒，探索建立跨省区域税收分享机制和征管协调机制，创新跨区域环保联合执法和应急联动机制，试行建设用地指标跨区域统筹和耕地占补平衡统筹。推动建立跨区域利益补偿机制，探索基于项目投资、产值、税收等贡献度的收益分配模型。争取省级层面出台专项支持政策，设立区域协作发展基金，着力破解“重协商轻落地”困局，为全省乃至全国省际协作提供可复制、可推广的经验借鉴和制度样本。</w:t>
      </w:r>
    </w:p>
    <w:p>
      <w:pPr>
        <w:pStyle w:val="25"/>
        <w:ind w:firstLine="602"/>
        <w:rPr>
          <w:rFonts w:ascii="Times New Roman" w:hAnsi="Times New Roman" w:cs="Times New Roman"/>
          <w:lang w:val="en-GB"/>
        </w:rPr>
      </w:pPr>
      <w:r>
        <w:rPr>
          <w:rFonts w:ascii="Times New Roman" w:hAnsi="Times New Roman" w:eastAsia="楷体" w:cs="Times New Roman"/>
          <w:b/>
          <w:bCs/>
          <w:lang w:val="en-GB"/>
        </w:rPr>
        <w:t>充当主攻手的先锋角色。</w:t>
      </w:r>
      <w:r>
        <w:rPr>
          <w:rFonts w:ascii="Times New Roman" w:hAnsi="Times New Roman" w:cs="Times New Roman"/>
          <w:lang w:val="en-GB"/>
        </w:rPr>
        <w:t>聚焦省际协作核心项目和关键领域，主动谋划、精准发力。重点围绕共建新能源材料和精细化工产业集群等方向实现突破。建立重大项目联合推进机制，共同开展产业链招商，协同争取国家重大产业项目布局。在省际产业链融合、统一要素市场建设、跨境数据共享等方面率先突破，全力破解制约协作发展的瓶颈问题，切实推动湘黔协作取得实质性进展和突破性成效。</w:t>
      </w:r>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25"/>
              <w:ind w:firstLine="0" w:firstLineChars="0"/>
              <w:jc w:val="center"/>
              <w:rPr>
                <w:rFonts w:ascii="Times New Roman" w:hAnsi="Times New Roman" w:cs="Times New Roman"/>
                <w:b/>
                <w:bCs/>
              </w:rPr>
            </w:pPr>
            <w:r>
              <w:rPr>
                <w:rFonts w:ascii="Times New Roman" w:hAnsi="Times New Roman" w:cs="Times New Roman"/>
                <w:b/>
                <w:bCs/>
              </w:rPr>
              <w:t>专栏二：湘黔协作融合示范工程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46"/>
              <w:ind w:firstLine="562"/>
              <w:rPr>
                <w:rFonts w:ascii="Times New Roman" w:hAnsi="Times New Roman" w:cs="Times New Roman"/>
                <w:b/>
              </w:rPr>
            </w:pPr>
            <w:r>
              <w:rPr>
                <w:rFonts w:ascii="Times New Roman" w:hAnsi="Times New Roman" w:cs="Times New Roman"/>
                <w:b/>
              </w:rPr>
              <w:t>基础设施互联互通工程。</w:t>
            </w:r>
            <w:r>
              <w:rPr>
                <w:rFonts w:ascii="Times New Roman" w:hAnsi="Times New Roman" w:cs="Times New Roman"/>
                <w:bCs w:val="0"/>
              </w:rPr>
              <w:t>聚焦打通省际断点、畅通区域循环，构建现代化湘黔边界综合交通物流体系。建设怀化国际陆港新晃大新公铁联运物流园及跨省物流网络，配套完善冷链设施与智慧平台，共建“湘黔物流走廊”，强化区域物资集散与商贸流通能力。</w:t>
            </w:r>
          </w:p>
          <w:p>
            <w:pPr>
              <w:pStyle w:val="46"/>
              <w:ind w:firstLine="562"/>
              <w:rPr>
                <w:rFonts w:ascii="Times New Roman" w:hAnsi="Times New Roman" w:cs="Times New Roman"/>
                <w:bCs w:val="0"/>
              </w:rPr>
            </w:pPr>
            <w:r>
              <w:rPr>
                <w:rFonts w:ascii="Times New Roman" w:hAnsi="Times New Roman" w:cs="Times New Roman"/>
                <w:b/>
              </w:rPr>
              <w:t>产业协同融合发展工程。</w:t>
            </w:r>
            <w:r>
              <w:rPr>
                <w:rFonts w:ascii="Times New Roman" w:hAnsi="Times New Roman" w:cs="Times New Roman"/>
                <w:bCs w:val="0"/>
              </w:rPr>
              <w:t>立足资源禀赋与产业基础，推动湘黔两地产业链、供应链深度融合。（1）与大龙经开区共建跨省协作产业园，按照规划同图、产业同频、要素同价、设施同网、服务同园的思路，助力新晃县与大龙经开区打造新时代湘黔边界区域合作创新发展先行区。（2）湘黔联动推进矿产资源综合开发利用，加强重晶石等资源的绿色开发与合作。（3）依托新晃湘黔民族地区农工旅融合体验中心等项目，共同打造黄精、黄牛等特色产业的种养、加工与观光全链条。</w:t>
            </w:r>
          </w:p>
          <w:p>
            <w:pPr>
              <w:pStyle w:val="46"/>
              <w:ind w:firstLine="562"/>
              <w:rPr>
                <w:rFonts w:ascii="Times New Roman" w:hAnsi="Times New Roman" w:cs="Times New Roman"/>
                <w:bCs w:val="0"/>
              </w:rPr>
            </w:pPr>
            <w:r>
              <w:rPr>
                <w:rFonts w:ascii="Times New Roman" w:hAnsi="Times New Roman" w:cs="Times New Roman"/>
                <w:b/>
              </w:rPr>
              <w:t>文旅康养共建共享工程。</w:t>
            </w:r>
            <w:r>
              <w:rPr>
                <w:rFonts w:ascii="Times New Roman" w:hAnsi="Times New Roman" w:cs="Times New Roman"/>
                <w:bCs w:val="0"/>
              </w:rPr>
              <w:t>整合夜郎文化、侗族风情与红色资源，联合打造湘黔黄金旅游带。（1）重点建设㵲水河文旅体融合发展项目与滨水廊道工程，形成集水上运动、休闲康养、文化体验于一体的跨省景观轴。（2）推动平溪河流域侗族村寨旅游提质与汞矿遗址公园建设，共塑区域文化旅游品牌。（3）以中央专项彩票公益金支持革命老区乡村振兴项目为抓手，在晃州、扶罗、中寨、贡溪、凉伞等边界乡镇连片发展文化体验与生态旅游。</w:t>
            </w:r>
          </w:p>
          <w:p>
            <w:pPr>
              <w:pStyle w:val="46"/>
              <w:ind w:firstLine="562"/>
              <w:rPr>
                <w:rFonts w:ascii="Times New Roman" w:hAnsi="Times New Roman" w:cs="Times New Roman"/>
                <w:bCs w:val="0"/>
              </w:rPr>
            </w:pPr>
            <w:r>
              <w:rPr>
                <w:rFonts w:ascii="Times New Roman" w:hAnsi="Times New Roman" w:cs="Times New Roman"/>
                <w:b/>
              </w:rPr>
              <w:t>生态环保联治联保工程。</w:t>
            </w:r>
            <w:r>
              <w:rPr>
                <w:rFonts w:ascii="Times New Roman" w:hAnsi="Times New Roman" w:cs="Times New Roman"/>
                <w:bCs w:val="0"/>
              </w:rPr>
              <w:t>围绕共享水系与生态屏障，建立跨省域的生态环境共保联治机制。（1）重点实施新晃湘黔水利设施共建共享示范区建设，合作推进水源工程与灌区配套，实现水资源优化配置。（2）共筑“湘黔边界和美乡村示范带”，协同开展农村人居环境整治与风貌提升；强化㵲水、平溪河、中和溪、野鸡河流域水环境综合治理与生态廊道建设，共同守护区域生态安全。</w:t>
            </w:r>
          </w:p>
        </w:tc>
      </w:tr>
    </w:tbl>
    <w:p>
      <w:pPr>
        <w:pStyle w:val="24"/>
        <w:numPr>
          <w:ilvl w:val="0"/>
          <w:numId w:val="1"/>
        </w:numPr>
        <w:sectPr>
          <w:pgSz w:w="11906" w:h="16838"/>
          <w:pgMar w:top="1440" w:right="1800" w:bottom="1440" w:left="1800" w:header="851" w:footer="992" w:gutter="0"/>
          <w:pgNumType w:fmt="decimal"/>
          <w:cols w:space="425" w:num="1"/>
          <w:docGrid w:type="lines" w:linePitch="312" w:charSpace="0"/>
        </w:sectPr>
      </w:pPr>
    </w:p>
    <w:p>
      <w:pPr>
        <w:pStyle w:val="24"/>
        <w:numPr>
          <w:ilvl w:val="0"/>
          <w:numId w:val="1"/>
        </w:numPr>
      </w:pPr>
      <w:bookmarkStart w:id="69" w:name="_Toc216945811"/>
      <w:bookmarkStart w:id="70" w:name="OLE_LINK65"/>
      <w:r>
        <w:t>深化改革创新 激活高质量发展新动能</w:t>
      </w:r>
      <w:bookmarkEnd w:id="69"/>
    </w:p>
    <w:p>
      <w:pPr>
        <w:pStyle w:val="25"/>
        <w:ind w:firstLine="600"/>
        <w:rPr>
          <w:rFonts w:ascii="Times New Roman" w:hAnsi="Times New Roman" w:cs="Times New Roman"/>
        </w:rPr>
      </w:pPr>
      <w:r>
        <w:rPr>
          <w:rFonts w:ascii="Times New Roman" w:hAnsi="Times New Roman" w:cs="Times New Roman"/>
        </w:rPr>
        <w:t>坚持向改革要活力、向创新要动力，着力破除体制机制障碍，优化要素配置效率，充分激发各类市场主体活力，加快构筑省际边界要素集聚高地。</w:t>
      </w:r>
    </w:p>
    <w:p>
      <w:pPr>
        <w:pStyle w:val="29"/>
        <w:numPr>
          <w:ilvl w:val="0"/>
          <w:numId w:val="4"/>
        </w:numPr>
        <w:rPr>
          <w:rFonts w:ascii="Times New Roman" w:hAnsi="Times New Roman" w:cs="Times New Roman"/>
          <w:lang w:val="en-GB"/>
        </w:rPr>
      </w:pPr>
      <w:bookmarkStart w:id="71" w:name="_Toc216945812"/>
      <w:r>
        <w:rPr>
          <w:rFonts w:ascii="Times New Roman" w:hAnsi="Times New Roman" w:cs="Times New Roman"/>
          <w:lang w:val="en-GB"/>
        </w:rPr>
        <w:t>培育活力迸发的市场主体</w:t>
      </w:r>
      <w:bookmarkEnd w:id="71"/>
    </w:p>
    <w:p>
      <w:pPr>
        <w:pStyle w:val="25"/>
        <w:ind w:firstLine="602"/>
        <w:rPr>
          <w:rFonts w:ascii="Times New Roman" w:hAnsi="Times New Roman" w:cs="Times New Roman"/>
        </w:rPr>
      </w:pPr>
      <w:r>
        <w:rPr>
          <w:rFonts w:ascii="Times New Roman" w:hAnsi="Times New Roman" w:eastAsia="楷体" w:cs="Times New Roman"/>
          <w:b/>
          <w:bCs/>
        </w:rPr>
        <w:t>深化国资国企改革。</w:t>
      </w:r>
      <w:r>
        <w:rPr>
          <w:rFonts w:ascii="Times New Roman" w:hAnsi="Times New Roman" w:cs="Times New Roman"/>
        </w:rPr>
        <w:t>实施国有企业改革深化提升行动，逐步健全国有资本经营预算制度。构建国有企业新型经营责任制，探索建立资产与金融融合、市场化运行、共享共用三项机制，实施国有资产盘活工程，提升国有资本运营效率。完善以服务县域战略、突出主责主业、注重经营效益为导向的国有企业分类考核评价体系。健全与改革相配套的防范化解国有企业债务风险机制，确保国资安全。</w:t>
      </w:r>
    </w:p>
    <w:p>
      <w:pPr>
        <w:pStyle w:val="25"/>
        <w:ind w:firstLine="602"/>
        <w:rPr>
          <w:rFonts w:ascii="Times New Roman" w:hAnsi="Times New Roman" w:cs="Times New Roman"/>
        </w:rPr>
      </w:pPr>
      <w:r>
        <w:rPr>
          <w:rFonts w:ascii="Times New Roman" w:hAnsi="Times New Roman" w:eastAsia="楷体" w:cs="Times New Roman"/>
          <w:b/>
          <w:bCs/>
        </w:rPr>
        <w:t>壮大民营经济规模。</w:t>
      </w:r>
      <w:r>
        <w:rPr>
          <w:rFonts w:ascii="Times New Roman" w:hAnsi="Times New Roman" w:cs="Times New Roman"/>
        </w:rPr>
        <w:t>深入实施主体强身行动，制定民营企业家孵化成长计划，提升民营企业综合竞争力，培育一批专精特新“小巨人”企业。完善民营企业融资支持政策，健全“政银企”常态化对接工作机制，畅通融资服务渠道。推行服务企业制度常态化、长期化，优化“四员联企”工作机制，推动涉企服务全生命周期集成化办理，健全破除营商环境顽瘴痼疾长效机制。鼓励创新创造，弘扬企业家精神，定期开展“劳动模范”“创业能手”等评选表彰活动，营造崇尚实干、勇于探索、宽容失败的创新创业氛围。实施民营企业家素质提升工程，通过“名家讲堂”、专题研修、对标访学等方式，系统开展政策解读、管理创新、数字化转型等培训，全面提升民营企业经营者的战略思维、管理能力和市场驾驭水平。</w:t>
      </w:r>
    </w:p>
    <w:p>
      <w:pPr>
        <w:pStyle w:val="25"/>
        <w:ind w:firstLine="602"/>
        <w:rPr>
          <w:rFonts w:ascii="Times New Roman" w:hAnsi="Times New Roman" w:cs="Times New Roman"/>
        </w:rPr>
      </w:pPr>
      <w:r>
        <w:rPr>
          <w:rFonts w:ascii="Times New Roman" w:hAnsi="Times New Roman" w:eastAsia="楷体" w:cs="Times New Roman"/>
          <w:b/>
          <w:bCs/>
        </w:rPr>
        <w:t>打造一流营商环境。</w:t>
      </w:r>
      <w:r>
        <w:rPr>
          <w:rFonts w:ascii="Times New Roman" w:hAnsi="Times New Roman" w:cs="Times New Roman"/>
        </w:rPr>
        <w:t>深化“放管服”改革，推进政务服务标准化、规范化、便利化。全面实行行政许可事项清单管理，深化“一网通办”“一件事一次办”改革，提升企业开办、变更、注销全流程电子化水平。建立健全常态化、制度化的政企沟通对接机制，精准把握企业诉求。构建新型市场监管体系，全面推行“双随机、一公开”监管，拓展部门联合“综合查一次”覆盖范围，健全以信用为基础的分级分类监管机制，对守法守信企业推行“企业宁静日”制度。健全公平公正的法治保障，严格规范公正文明执法，细化量化行政处罚裁量基准，完善并落实轻微违法行为依法免罚、首违不罚清单，为各类经营主体营造稳定、公平、透明、可预期的发展环境。</w:t>
      </w:r>
    </w:p>
    <w:p>
      <w:pPr>
        <w:pStyle w:val="29"/>
        <w:numPr>
          <w:ilvl w:val="0"/>
          <w:numId w:val="4"/>
        </w:numPr>
        <w:rPr>
          <w:rFonts w:ascii="Times New Roman" w:hAnsi="Times New Roman" w:cs="Times New Roman"/>
          <w:lang w:val="en-GB"/>
        </w:rPr>
      </w:pPr>
      <w:bookmarkStart w:id="72" w:name="_Toc216945813"/>
      <w:r>
        <w:rPr>
          <w:rFonts w:ascii="Times New Roman" w:hAnsi="Times New Roman" w:cs="Times New Roman"/>
          <w:lang w:val="en-GB"/>
        </w:rPr>
        <w:t>构建畅通高效的要素市场</w:t>
      </w:r>
      <w:bookmarkEnd w:id="72"/>
    </w:p>
    <w:p>
      <w:pPr>
        <w:pStyle w:val="25"/>
        <w:ind w:firstLine="602"/>
        <w:rPr>
          <w:rFonts w:ascii="Times New Roman" w:hAnsi="Times New Roman" w:cs="Times New Roman"/>
          <w:lang w:val="en-GB"/>
        </w:rPr>
      </w:pPr>
      <w:r>
        <w:rPr>
          <w:rFonts w:ascii="Times New Roman" w:hAnsi="Times New Roman" w:eastAsia="楷体" w:cs="Times New Roman"/>
          <w:b/>
          <w:bCs/>
        </w:rPr>
        <w:t>推进要素配置市场化。</w:t>
      </w:r>
      <w:r>
        <w:rPr>
          <w:rFonts w:ascii="Times New Roman" w:hAnsi="Times New Roman" w:cs="Times New Roman"/>
          <w:lang w:val="en-GB"/>
        </w:rPr>
        <w:t>健全土地、劳动力、资本、技术、数据等要素市场化配置机制。深化土地制度改革，落实同宏观政策和区域发展高效衔接的土地管理制度，优先保障主特产业、重大项目合理用地；落实工业用地“标准地”改革，建立健全亩均效益综合评价机制。畅通劳动力要素流动，完善人才引进、培养、使用、评价机制，推动人才向重点产业集聚。加速技术要素转化，完善精细化工、中医药、特质农业等重点产业科技创新平台建设和管理机制。培育数据要素市场，大力推进数据基础设施建设，拓展数字化应用场景，释放数据要素价值。</w:t>
      </w:r>
    </w:p>
    <w:p>
      <w:pPr>
        <w:pStyle w:val="25"/>
        <w:ind w:firstLine="602"/>
        <w:rPr>
          <w:rFonts w:ascii="Times New Roman" w:hAnsi="Times New Roman" w:cs="Times New Roman"/>
          <w:lang w:val="en-GB"/>
        </w:rPr>
      </w:pPr>
      <w:r>
        <w:rPr>
          <w:rFonts w:ascii="Times New Roman" w:hAnsi="Times New Roman" w:eastAsia="楷体" w:cs="Times New Roman"/>
          <w:b/>
          <w:bCs/>
        </w:rPr>
        <w:t>深化财税金融体制改革。</w:t>
      </w:r>
      <w:r>
        <w:rPr>
          <w:rFonts w:ascii="Times New Roman" w:hAnsi="Times New Roman" w:cs="Times New Roman"/>
          <w:lang w:val="en-GB"/>
        </w:rPr>
        <w:t>健全预算管理制度，深化零基预算改革，构建有保有压、突出重点、讲求绩效的预算安排机制，强化重大战略任务和基本民生财力保障。完善政府债务管理制度，建立全口径地方债务监测监管机制和防范化解隐性债务风险长效机制，防范和化解政府债务风险。健全金融服务支撑体系，积极发展科技金融、绿色金融、普惠金融、养老金融、数字金融。完善“1+2+3+N+X”乡村振兴金融服务体系，提升“金融超市”服务能力。完善政府性融资担保体系建设，探索建立“政银企保担”合作和风险共担机制。</w:t>
      </w:r>
    </w:p>
    <w:p>
      <w:pPr>
        <w:pStyle w:val="25"/>
        <w:ind w:firstLine="602"/>
        <w:rPr>
          <w:rFonts w:ascii="Times New Roman" w:hAnsi="Times New Roman" w:cs="Times New Roman"/>
        </w:rPr>
      </w:pPr>
      <w:r>
        <w:rPr>
          <w:rFonts w:ascii="Times New Roman" w:hAnsi="Times New Roman" w:eastAsia="楷体" w:cs="Times New Roman"/>
          <w:b/>
          <w:bCs/>
        </w:rPr>
        <w:t>积极融入全国统一大市场。</w:t>
      </w:r>
      <w:r>
        <w:rPr>
          <w:rFonts w:ascii="Times New Roman" w:hAnsi="Times New Roman" w:cs="Times New Roman"/>
        </w:rPr>
        <w:t>落实全国统一大市场建设要求，破除要素获取、资质认定、招标投标政府采购等方面壁垒，规范政府经济促进行为。深化公共资源交易体制改革，有效实施“机器管招投标”。落实“全国一张清单”管理模式，优化新业态新领域市场准入环境。综合整治“内卷式”竞争，统一市场监管执法，强化反垄断和反不正当竞争执法司法。加大知识产权保护力度，建设国家知识产权强县。健全社会信用体系，加强政务诚信建设，争创全国社会信用体系建设示范区。</w:t>
      </w:r>
    </w:p>
    <w:p>
      <w:pPr>
        <w:pStyle w:val="29"/>
        <w:numPr>
          <w:ilvl w:val="0"/>
          <w:numId w:val="4"/>
        </w:numPr>
        <w:rPr>
          <w:rFonts w:ascii="Times New Roman" w:hAnsi="Times New Roman" w:cs="Times New Roman"/>
          <w:lang w:val="en-GB"/>
        </w:rPr>
      </w:pPr>
      <w:bookmarkStart w:id="73" w:name="_Toc216945814"/>
      <w:r>
        <w:rPr>
          <w:rFonts w:ascii="Times New Roman" w:hAnsi="Times New Roman" w:cs="Times New Roman"/>
          <w:lang w:val="en-GB"/>
        </w:rPr>
        <w:t>塑造四位一体的创新体系</w:t>
      </w:r>
      <w:bookmarkEnd w:id="73"/>
    </w:p>
    <w:p>
      <w:pPr>
        <w:pStyle w:val="25"/>
        <w:ind w:firstLine="600"/>
        <w:rPr>
          <w:rFonts w:ascii="Times New Roman" w:hAnsi="Times New Roman" w:cs="Times New Roman"/>
          <w:lang w:val="en-GB"/>
        </w:rPr>
      </w:pPr>
      <w:bookmarkStart w:id="74" w:name="_Hlk210813625"/>
      <w:bookmarkStart w:id="75" w:name="OLE_LINK12"/>
      <w:r>
        <w:rPr>
          <w:rFonts w:ascii="Times New Roman" w:hAnsi="Times New Roman" w:cs="Times New Roman"/>
          <w:lang w:val="en-GB"/>
        </w:rPr>
        <w:t>构建“平台—人才—技术—生态”四位一体的创新发展体系，强化科技创新对产业升级的引领作用，推动创新链、产业链、资金链、人才链深度融合，为新质生产力的培育和发展提供持续动力。</w:t>
      </w:r>
    </w:p>
    <w:p>
      <w:pPr>
        <w:pStyle w:val="25"/>
        <w:ind w:firstLine="602"/>
        <w:rPr>
          <w:rFonts w:ascii="Times New Roman" w:hAnsi="Times New Roman" w:cs="Times New Roman"/>
          <w:lang w:val="en-GB"/>
        </w:rPr>
      </w:pPr>
      <w:r>
        <w:rPr>
          <w:rFonts w:ascii="Times New Roman" w:hAnsi="Times New Roman" w:eastAsia="楷体" w:cs="Times New Roman"/>
          <w:b/>
          <w:bCs/>
        </w:rPr>
        <w:t>筑强创新平台体系</w:t>
      </w:r>
      <w:bookmarkEnd w:id="74"/>
      <w:r>
        <w:rPr>
          <w:rFonts w:ascii="Times New Roman" w:hAnsi="Times New Roman" w:eastAsia="楷体" w:cs="Times New Roman"/>
          <w:b/>
          <w:bCs/>
        </w:rPr>
        <w:t>。</w:t>
      </w:r>
      <w:r>
        <w:rPr>
          <w:rFonts w:ascii="Times New Roman" w:hAnsi="Times New Roman" w:cs="Times New Roman"/>
        </w:rPr>
        <w:t>深化与中南大学、湖南农业大学、贵州大学等高校院所战略合作，共建一批高水平研发机构。布局建设一批产业技术研究院、企业技术中心等新型研发机构，构建多层次、宽领域的创新平台网络。</w:t>
      </w:r>
      <w:r>
        <w:rPr>
          <w:rFonts w:ascii="Times New Roman" w:hAnsi="Times New Roman" w:cs="Times New Roman"/>
          <w:lang w:val="en-GB"/>
        </w:rPr>
        <w:t>建设科创飞地，深度对接长株潭自主创新示范区和成渝地区双城经济圈科技创新中心资源。设立粤港澳大湾区离岸孵化器，建立“异地研发、本地转化”的跨区域创新协作机制。建立健全创新平台开放共享和绩效评估机制，提升平台运行效率和资源利用水平。推进公共实训基地、直播创业孵化基地等本土创新载体建设。以“新晃产业开发区数字园区建设项目”和“新晃产业开发区工业互联网平台建设项目”为核心，打造支撑产业数字化转型的共性技术平台。</w:t>
      </w:r>
    </w:p>
    <w:p>
      <w:pPr>
        <w:pStyle w:val="25"/>
        <w:ind w:firstLine="602"/>
        <w:rPr>
          <w:rFonts w:ascii="Times New Roman" w:hAnsi="Times New Roman" w:eastAsia="楷体" w:cs="Times New Roman"/>
          <w:b/>
          <w:bCs/>
        </w:rPr>
      </w:pPr>
      <w:r>
        <w:rPr>
          <w:rFonts w:ascii="Times New Roman" w:hAnsi="Times New Roman" w:eastAsia="楷体" w:cs="Times New Roman"/>
          <w:b/>
          <w:bCs/>
        </w:rPr>
        <w:t>激发创新人才活力。</w:t>
      </w:r>
      <w:r>
        <w:rPr>
          <w:rFonts w:ascii="Times New Roman" w:hAnsi="Times New Roman" w:cs="Times New Roman"/>
        </w:rPr>
        <w:t>注重人才培养，深化与中南大学、湖南中医药大学等院校及县职中的合作，建设产学研联合培养基地，在黄精、黄牛、龙脑等特色产业设立“乡土专家工坊”，依托职业中专加强智能制造等前沿工种技能培训，夯实本土人才基础。</w:t>
      </w:r>
      <w:bookmarkStart w:id="76" w:name="OLE_LINK33"/>
      <w:bookmarkStart w:id="77" w:name="OLE_LINK31"/>
      <w:r>
        <w:rPr>
          <w:rFonts w:ascii="Times New Roman" w:hAnsi="Times New Roman" w:cs="Times New Roman"/>
        </w:rPr>
        <w:t>促进人才引进，实行更加开放、灵活、有效的人才政策，完善引才机制，鼓励企业通过项目合作、技术咨询等柔性方式吸引高层次科技人才。加强人尽其才、才尽其用，搭建县直播创业孵化基地、大学生梦工厂等平台，健全以创新能力、质量、实效为导向的人才评价与激励机制，实现人才发展与产业升级深度融合。</w:t>
      </w:r>
    </w:p>
    <w:p>
      <w:pPr>
        <w:pStyle w:val="25"/>
        <w:ind w:firstLine="602"/>
        <w:rPr>
          <w:rFonts w:ascii="Times New Roman" w:hAnsi="Times New Roman" w:cs="Times New Roman"/>
        </w:rPr>
      </w:pPr>
      <w:r>
        <w:rPr>
          <w:rFonts w:ascii="Times New Roman" w:hAnsi="Times New Roman" w:eastAsia="楷体" w:cs="Times New Roman"/>
          <w:b/>
          <w:bCs/>
        </w:rPr>
        <w:t>培育关键领域新质动能</w:t>
      </w:r>
      <w:bookmarkEnd w:id="76"/>
      <w:bookmarkEnd w:id="77"/>
      <w:r>
        <w:rPr>
          <w:rFonts w:ascii="Times New Roman" w:hAnsi="Times New Roman" w:eastAsia="楷体" w:cs="Times New Roman"/>
          <w:b/>
          <w:bCs/>
        </w:rPr>
        <w:t>。</w:t>
      </w:r>
      <w:r>
        <w:rPr>
          <w:rFonts w:ascii="Times New Roman" w:hAnsi="Times New Roman" w:cs="Times New Roman"/>
        </w:rPr>
        <w:t>围绕精细化工、特质农业、文旅康养等主、特、新产业，组织实施一批关键技术攻关项目。重点突破高纯度钡盐的提取纯化、以分子包膜为核心的粉体功能化改性和防辐射技术等特种材料制备技术，形成覆盖高端制造、健康防护等领域的解决方案。推动生物制造技术在中药加工领域的应用，重点发展龙脑提取物、重组胶原蛋白、生物基材料等高附加值产品。加速珍稀药材生物合成开发项目的成果转化和量产。建立市场导向的科技成果转化机制，畅通科技成果就地转化通道。强化企业科技创新主体地位，支持科技领军企业牵头组建创新联合体，承担重大科技任务。</w:t>
      </w:r>
    </w:p>
    <w:tbl>
      <w:tblPr>
        <w:tblStyle w:val="19"/>
        <w:tblW w:w="827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pPr>
              <w:pStyle w:val="25"/>
              <w:ind w:firstLine="0" w:firstLineChars="0"/>
              <w:jc w:val="center"/>
              <w:rPr>
                <w:rFonts w:ascii="Times New Roman" w:hAnsi="Times New Roman" w:cs="Times New Roman"/>
                <w:b/>
                <w:bCs/>
                <w:lang w:val="en-GB"/>
              </w:rPr>
            </w:pPr>
            <w:r>
              <w:rPr>
                <w:rFonts w:ascii="Times New Roman" w:hAnsi="Times New Roman" w:cs="Times New Roman"/>
                <w:b/>
                <w:bCs/>
                <w:lang w:val="en-GB"/>
              </w:rPr>
              <w:t>专栏三：科技创新重点攻关领域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pPr>
              <w:pStyle w:val="46"/>
              <w:ind w:firstLine="562"/>
              <w:rPr>
                <w:rFonts w:ascii="Times New Roman" w:hAnsi="Times New Roman" w:cs="Times New Roman"/>
              </w:rPr>
            </w:pPr>
            <w:r>
              <w:rPr>
                <w:rFonts w:ascii="Times New Roman" w:hAnsi="Times New Roman" w:cs="Times New Roman"/>
                <w:b/>
              </w:rPr>
              <w:t>突破高端钡材料关键技术。</w:t>
            </w:r>
            <w:r>
              <w:rPr>
                <w:rFonts w:ascii="Times New Roman" w:hAnsi="Times New Roman" w:cs="Times New Roman"/>
              </w:rPr>
              <w:t>重点突破医药级、电子级高纯钡盐的绿色高效制备技术。大力发展以分子包膜为代表的粉体表面精准改性技术，提升产品与高分子材料的相容性，为开发高端复合功能材料奠定基础。研发基于重晶石的防辐射、磁性等特种材料制备技术，推动全产业链的高端化、智能化升级。</w:t>
            </w:r>
          </w:p>
          <w:p>
            <w:pPr>
              <w:pStyle w:val="46"/>
              <w:ind w:firstLine="562"/>
              <w:rPr>
                <w:rFonts w:ascii="Times New Roman" w:hAnsi="Times New Roman" w:cs="Times New Roman"/>
              </w:rPr>
            </w:pPr>
            <w:r>
              <w:rPr>
                <w:rFonts w:ascii="Times New Roman" w:hAnsi="Times New Roman" w:cs="Times New Roman"/>
                <w:b/>
              </w:rPr>
              <w:t>强化合成生物技术赋能。</w:t>
            </w:r>
            <w:r>
              <w:rPr>
                <w:rFonts w:ascii="Times New Roman" w:hAnsi="Times New Roman" w:cs="Times New Roman"/>
              </w:rPr>
              <w:t>依托特色中药材资源，推动生物制造技术在中药加工领域的应用，重点发展龙脑提取物、重组胶原蛋白、生物基材料等高附加值产品。深化与合成生物技术研发企业的合作，加速珍稀药材生物合成开发项目的成果转化和量产，打造武陵山片区生物经济创新节点。</w:t>
            </w:r>
          </w:p>
          <w:p>
            <w:pPr>
              <w:pStyle w:val="46"/>
              <w:ind w:firstLine="562"/>
              <w:rPr>
                <w:rFonts w:ascii="Times New Roman" w:hAnsi="Times New Roman" w:cs="Times New Roman"/>
              </w:rPr>
            </w:pPr>
            <w:r>
              <w:rPr>
                <w:rFonts w:ascii="Times New Roman" w:hAnsi="Times New Roman" w:cs="Times New Roman"/>
                <w:b/>
              </w:rPr>
              <w:t>升级农副产品精深加工能力。</w:t>
            </w:r>
            <w:r>
              <w:rPr>
                <w:rFonts w:ascii="Times New Roman" w:hAnsi="Times New Roman" w:cs="Times New Roman"/>
              </w:rPr>
              <w:t>实施“科技+产业”融合行动，引进省农科院、怀化学院等科研院所技术成果，开发黄精生物提取、黄牛骨血高值化利用、龙脑超高纯度结晶等精深加工技术。推动“县智慧农业大数据平台”“黄牛产业溯源系统”“中药材市场数字化平台”及“晃州镇智慧农业监测系统”的数据应用与生产技术融合。支持村级集体企业与科研机构共建产学研基地，推动传统农业向科技型产业转型。</w:t>
            </w:r>
          </w:p>
          <w:p>
            <w:pPr>
              <w:pStyle w:val="46"/>
              <w:ind w:firstLine="562"/>
              <w:rPr>
                <w:rFonts w:ascii="Times New Roman" w:hAnsi="Times New Roman" w:cs="Times New Roman"/>
              </w:rPr>
            </w:pPr>
            <w:r>
              <w:rPr>
                <w:rFonts w:ascii="Times New Roman" w:hAnsi="Times New Roman" w:cs="Times New Roman"/>
                <w:b/>
              </w:rPr>
              <w:t>创新融合新技术、新业态。</w:t>
            </w:r>
            <w:r>
              <w:rPr>
                <w:rFonts w:ascii="Times New Roman" w:hAnsi="Times New Roman" w:cs="Times New Roman"/>
              </w:rPr>
              <w:t>以数字技术深度赋能文旅康养产品设计、服务体验和营销推广，构建智慧旅居和康养服务新范式。加快发展“低空+”场景应用，推动通航服务、物流配送、应急响应等新兴领域技术突破与商业化运营。推动数字经济与物流体系深度融合，建设智能供应链和跨境数字贸易枢纽，系统提升区域产业链响应速度和资源调度能力。</w:t>
            </w:r>
          </w:p>
        </w:tc>
      </w:tr>
    </w:tbl>
    <w:p>
      <w:pPr>
        <w:pStyle w:val="25"/>
        <w:ind w:firstLine="602"/>
        <w:rPr>
          <w:rFonts w:ascii="Times New Roman" w:hAnsi="Times New Roman" w:cs="Times New Roman"/>
        </w:rPr>
      </w:pPr>
      <w:r>
        <w:rPr>
          <w:rFonts w:ascii="Times New Roman" w:hAnsi="Times New Roman" w:eastAsia="楷体" w:cs="Times New Roman"/>
          <w:b/>
          <w:bCs/>
          <w:lang w:val="en-GB"/>
        </w:rPr>
        <w:t>营造一流创新创业生态</w:t>
      </w:r>
      <w:bookmarkEnd w:id="75"/>
      <w:r>
        <w:rPr>
          <w:rFonts w:ascii="Times New Roman" w:hAnsi="Times New Roman" w:eastAsia="楷体" w:cs="Times New Roman"/>
          <w:b/>
          <w:bCs/>
          <w:lang w:val="en-GB"/>
        </w:rPr>
        <w:t>。</w:t>
      </w:r>
      <w:r>
        <w:rPr>
          <w:rFonts w:ascii="Times New Roman" w:hAnsi="Times New Roman" w:cs="Times New Roman"/>
        </w:rPr>
        <w:t>建立培育壮大科技领军企业机制，鼓励科技领军企业牵头组建创新联合体。组建科技专家服务团，开展“一团一课一基地”行动，推广“团队式、成建制”帮扶模式。强化金融赋能创新，依托“产业链信贷风险补偿资金”与“助保贷信贷风险补偿资金”等破解科技型中小企业融资瓶颈。积极发展创业投资，拓宽科技型企业融资渠道。优化全链条孵化体系，支持县直播创业孵化基地引入专业机构提供创业培训与投融资对接服务。加强知识产权创造、保护和运用，激发社会创新潜能。弘扬科学家精神和工匠精神，营造鼓励创新、宽容失败的社会氛围。</w:t>
      </w:r>
    </w:p>
    <w:p>
      <w:pPr>
        <w:pStyle w:val="24"/>
        <w:jc w:val="both"/>
        <w:sectPr>
          <w:pgSz w:w="11906" w:h="16838"/>
          <w:pgMar w:top="1440" w:right="1800" w:bottom="1440" w:left="1800" w:header="851" w:footer="992" w:gutter="0"/>
          <w:pgNumType w:fmt="decimal"/>
          <w:cols w:space="425" w:num="1"/>
          <w:docGrid w:type="lines" w:linePitch="312" w:charSpace="0"/>
        </w:sectPr>
      </w:pPr>
    </w:p>
    <w:p>
      <w:pPr>
        <w:pStyle w:val="24"/>
        <w:numPr>
          <w:ilvl w:val="0"/>
          <w:numId w:val="1"/>
        </w:numPr>
      </w:pPr>
      <w:bookmarkStart w:id="78" w:name="_Toc216945815"/>
      <w:r>
        <w:t>壮大实体经济 打造现代化产业体系</w:t>
      </w:r>
      <w:bookmarkEnd w:id="78"/>
    </w:p>
    <w:p>
      <w:pPr>
        <w:pStyle w:val="25"/>
        <w:ind w:firstLine="600"/>
        <w:rPr>
          <w:rFonts w:ascii="Times New Roman" w:hAnsi="Times New Roman" w:cs="Times New Roman"/>
        </w:rPr>
      </w:pPr>
      <w:r>
        <w:rPr>
          <w:rFonts w:ascii="Times New Roman" w:hAnsi="Times New Roman" w:cs="Times New Roman"/>
        </w:rPr>
        <w:t>积极融入怀化“5+10”现代化产业体系建设，聚焦“四色”产业（一红：朱砂，二白：重晶石、天然冰片，三黄：黄精、黄牛、烤烟，四绿：绿色生态、绿色康养、绿色能源、生产性服务业），持续挖掘发展潜能，着力构建以绿色矿业为主导、以中医药与生态食品为特色、以文旅康养为新增长极的“1+1+1”现代化产业体系。</w:t>
      </w:r>
    </w:p>
    <w:bookmarkEnd w:id="70"/>
    <w:p>
      <w:pPr>
        <w:pStyle w:val="29"/>
        <w:numPr>
          <w:ilvl w:val="0"/>
          <w:numId w:val="5"/>
        </w:numPr>
        <w:rPr>
          <w:rFonts w:ascii="Times New Roman" w:hAnsi="Times New Roman" w:cs="Times New Roman"/>
          <w:lang w:val="en-GB"/>
        </w:rPr>
      </w:pPr>
      <w:bookmarkStart w:id="79" w:name="_Toc216945816"/>
      <w:r>
        <w:rPr>
          <w:rFonts w:ascii="Times New Roman" w:hAnsi="Times New Roman" w:cs="Times New Roman"/>
          <w:lang w:val="en-GB"/>
        </w:rPr>
        <w:t>建设湘黔边特色产业集群</w:t>
      </w:r>
      <w:bookmarkEnd w:id="79"/>
    </w:p>
    <w:p>
      <w:pPr>
        <w:pStyle w:val="25"/>
        <w:ind w:firstLine="600"/>
        <w:rPr>
          <w:rFonts w:ascii="Times New Roman" w:hAnsi="Times New Roman" w:cs="Times New Roman"/>
          <w:lang w:val="en-GB"/>
        </w:rPr>
      </w:pPr>
      <w:bookmarkStart w:id="80" w:name="_Hlk214912895"/>
      <w:r>
        <w:rPr>
          <w:rFonts w:ascii="Times New Roman" w:hAnsi="Times New Roman" w:cs="Times New Roman"/>
          <w:lang w:val="en-GB"/>
        </w:rPr>
        <w:t>立足新晃资源禀赋与产业基础，明确产业主攻方向，构建“1+1+1”现代化产业体系，力争培育绿色矿业和文旅康养两大百亿级产业集群。</w:t>
      </w:r>
    </w:p>
    <w:bookmarkEnd w:id="80"/>
    <w:p>
      <w:pPr>
        <w:pStyle w:val="25"/>
        <w:ind w:firstLine="602"/>
        <w:rPr>
          <w:rFonts w:ascii="Times New Roman" w:hAnsi="Times New Roman" w:cs="Times New Roman"/>
        </w:rPr>
      </w:pPr>
      <w:r>
        <w:rPr>
          <w:rFonts w:ascii="Times New Roman" w:hAnsi="Times New Roman" w:eastAsia="楷体" w:cs="Times New Roman"/>
          <w:b/>
          <w:bCs/>
          <w:lang w:val="en-GB"/>
        </w:rPr>
        <w:t>壮大优势主导产业，打造</w:t>
      </w:r>
      <w:bookmarkStart w:id="81" w:name="OLE_LINK40"/>
      <w:r>
        <w:rPr>
          <w:rFonts w:ascii="Times New Roman" w:hAnsi="Times New Roman" w:eastAsia="楷体" w:cs="Times New Roman"/>
          <w:b/>
          <w:bCs/>
          <w:lang w:val="en-GB"/>
        </w:rPr>
        <w:t>百亿级绿色矿业集群</w:t>
      </w:r>
      <w:bookmarkEnd w:id="81"/>
      <w:r>
        <w:rPr>
          <w:rFonts w:ascii="Times New Roman" w:hAnsi="Times New Roman" w:eastAsia="楷体" w:cs="Times New Roman"/>
          <w:b/>
          <w:bCs/>
          <w:lang w:val="en-GB"/>
        </w:rPr>
        <w:t>。</w:t>
      </w:r>
      <w:r>
        <w:rPr>
          <w:rFonts w:ascii="Times New Roman" w:hAnsi="Times New Roman" w:cs="Times New Roman"/>
        </w:rPr>
        <w:t>立足新晃省级化工园区平台优势与重晶石、钾长石等特色矿产资源，聚焦“中国钡都”战略目标，系统推进钡系新材料、钾长石深加工等关键领域技术突破与产能升级。强化与贵州大龙经开区等周边区域的产业协同，构建“前端材料—后端应用”一体化产业链条，推动产品结构向电子级、医药级、军工级等高附加值方向跃升。通过龙头引进、园区赋能、创新驱动，打造具有区域影响力的绿色矿业百亿级产业集群，筑牢新晃工业经济的“压舱石”。</w:t>
      </w:r>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25"/>
              <w:ind w:firstLine="0" w:firstLineChars="0"/>
              <w:jc w:val="center"/>
              <w:rPr>
                <w:rFonts w:ascii="Times New Roman" w:hAnsi="Times New Roman" w:cs="Times New Roman"/>
              </w:rPr>
            </w:pPr>
            <w:r>
              <w:rPr>
                <w:rFonts w:ascii="Times New Roman" w:hAnsi="Times New Roman" w:cs="Times New Roman"/>
                <w:b/>
                <w:bCs/>
              </w:rPr>
              <w:t>专栏四：绿色矿业发展重点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46"/>
              <w:ind w:firstLine="562"/>
              <w:rPr>
                <w:rFonts w:ascii="Times New Roman" w:hAnsi="Times New Roman" w:cs="Times New Roman"/>
                <w:lang w:val="en-GB"/>
              </w:rPr>
            </w:pPr>
            <w:r>
              <w:rPr>
                <w:rFonts w:ascii="Times New Roman" w:hAnsi="Times New Roman" w:cs="Times New Roman"/>
                <w:b/>
                <w:lang w:val="en-GB"/>
              </w:rPr>
              <w:t>钡系新材料产业。</w:t>
            </w:r>
            <w:r>
              <w:rPr>
                <w:rFonts w:ascii="Times New Roman" w:hAnsi="Times New Roman" w:cs="Times New Roman"/>
                <w:lang w:val="en-GB"/>
              </w:rPr>
              <w:t>瞄准“中国钡都”发展目标，坚持多方协同发力，系统提升产业能级与核心竞争力。大力引进龙头企业，积极对接全国乃至全球钡化工行业领军企业，推动其在本地设立区域总部、研发中心或生产基地，带动产业链上下游集聚。重点发展高端防辐射材料（医用防护装备、工程建材、功能涂层）、钡基高端功能材料（高纯钡盐、复合粉体、磁性材料）、锶钡温泉康养（特色温泉疗愈产品、康养度假服务）以及研学会展、文旅融合等衍生系列产品。推动产品深度服务于医疗器械、核安全、航空航天、新能源汽车、5G通信、绿色建筑等国民经济关键领域，提升产业支撑能力。高标准规划建设“中国钡谷”，集成高端制造、研发中试、科普文旅等功能。联合高校及科研机构共建“钡系新材料研究院”及中试基地，推动研发成果转化。深化与贵州大龙经开区等周边地区的产业链协作，积极融入更大区域的产业生态，共同提升区域竞争力。</w:t>
            </w:r>
          </w:p>
          <w:p>
            <w:pPr>
              <w:pStyle w:val="46"/>
              <w:ind w:firstLine="562"/>
              <w:rPr>
                <w:rFonts w:ascii="Times New Roman" w:hAnsi="Times New Roman" w:cs="Times New Roman"/>
              </w:rPr>
            </w:pPr>
            <w:r>
              <w:rPr>
                <w:rFonts w:ascii="Times New Roman" w:hAnsi="Times New Roman" w:cs="Times New Roman"/>
                <w:b/>
                <w:lang w:val="en-GB"/>
              </w:rPr>
              <w:t>硅酸盐钾矿新材料产业。</w:t>
            </w:r>
            <w:r>
              <w:rPr>
                <w:rFonts w:ascii="Times New Roman" w:hAnsi="Times New Roman" w:cs="Times New Roman"/>
              </w:rPr>
              <w:t>聚焦提纯、改性、应用三大关键环节，重点突破低温高效提纯、超细研磨改性等核心技术，大力发展土壤改良剂等环境友好型材料。延伸钾肥及钾盐化学品产业链，开发农业专用钾肥、医药级及食品级钾盐等高附加值精细化产品。引进产业链龙头企业，培育一批“专精特新”企业，推动产业集群发展。深化与高校院所的产学研合作，共建钾长石资源高值化利用研发平台。通过政策引导与要素保障，推动产业从原料开采向新材料制造转型升级。</w:t>
            </w:r>
          </w:p>
          <w:p>
            <w:pPr>
              <w:pStyle w:val="46"/>
              <w:ind w:firstLine="562"/>
              <w:rPr>
                <w:rFonts w:ascii="Times New Roman" w:hAnsi="Times New Roman" w:cs="Times New Roman"/>
                <w:lang w:val="en-GB"/>
              </w:rPr>
            </w:pPr>
            <w:r>
              <w:rPr>
                <w:rFonts w:ascii="Times New Roman" w:hAnsi="Times New Roman" w:cs="Times New Roman"/>
                <w:b/>
                <w:bCs w:val="0"/>
                <w:lang w:val="en-GB"/>
              </w:rPr>
              <w:t>新金属材料产业。</w:t>
            </w:r>
            <w:r>
              <w:rPr>
                <w:rFonts w:ascii="Times New Roman" w:hAnsi="Times New Roman" w:cs="Times New Roman"/>
                <w:lang w:val="en-GB"/>
              </w:rPr>
              <w:t>重点发展高碳铬铁、铝合金铸件、再生废钢铁、工业高纯硅材料。推动三家铁合金企业技改升级，按新晃实际引入相应企业。把湖南怀化铁合金基地西部片区新金属材料产业基地建设成为我省冶金产业链中重要的铁合金产业集聚区。</w:t>
            </w:r>
          </w:p>
        </w:tc>
      </w:tr>
    </w:tbl>
    <w:p>
      <w:pPr>
        <w:pStyle w:val="25"/>
        <w:ind w:firstLine="602"/>
        <w:rPr>
          <w:rFonts w:ascii="Times New Roman" w:hAnsi="Times New Roman" w:cs="Times New Roman"/>
          <w:lang w:val="en-GB"/>
        </w:rPr>
      </w:pPr>
      <w:bookmarkStart w:id="82" w:name="OLE_LINK48"/>
      <w:r>
        <w:rPr>
          <w:rFonts w:ascii="Times New Roman" w:hAnsi="Times New Roman" w:eastAsia="楷体" w:cs="Times New Roman"/>
          <w:b/>
          <w:bCs/>
          <w:lang w:val="en-GB"/>
        </w:rPr>
        <w:t>升级优势特色产业，打造中医药与生态食品产业集群。</w:t>
      </w:r>
      <w:bookmarkEnd w:id="82"/>
      <w:r>
        <w:rPr>
          <w:rFonts w:ascii="Times New Roman" w:hAnsi="Times New Roman" w:cs="Times New Roman"/>
          <w:lang w:val="en-GB"/>
        </w:rPr>
        <w:t>依托地理标志产品与生态资源优势，以标准化、品牌化、链条化、国际化为发展方向，推动中医药与生态食品产业从资源输出向价值输出转型。构建“种植—研发—加工—营销—文旅”全产业链体系，强化产地集散、精深加工、品牌营销与侗医药文化赋能，打造“中国生态黄精之乡”“世界龙脑之乡”“湘西黄牛之乡”。积极融入RCEP市场，借助陆港通道推动“晃品出湘、走向世界”，建设引领武陵山片区、辐射国内外的中医药与生态食品产业集群。</w:t>
      </w:r>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25"/>
              <w:ind w:firstLine="0" w:firstLineChars="0"/>
              <w:jc w:val="center"/>
              <w:rPr>
                <w:rFonts w:ascii="Times New Roman" w:hAnsi="Times New Roman" w:cs="Times New Roman"/>
              </w:rPr>
            </w:pPr>
            <w:r>
              <w:rPr>
                <w:rFonts w:ascii="Times New Roman" w:hAnsi="Times New Roman" w:cs="Times New Roman"/>
                <w:b/>
                <w:bCs/>
              </w:rPr>
              <w:t>专栏五：</w:t>
            </w:r>
            <w:bookmarkStart w:id="83" w:name="OLE_LINK46"/>
            <w:r>
              <w:rPr>
                <w:rFonts w:ascii="Times New Roman" w:hAnsi="Times New Roman" w:cs="Times New Roman"/>
                <w:b/>
                <w:bCs/>
              </w:rPr>
              <w:t>中医药与生态食品产业发展重点</w:t>
            </w:r>
            <w:bookmarkEnd w:id="83"/>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46"/>
              <w:ind w:firstLine="562"/>
              <w:rPr>
                <w:rFonts w:ascii="Times New Roman" w:hAnsi="Times New Roman" w:cs="Times New Roman"/>
                <w:lang w:val="en-GB"/>
              </w:rPr>
            </w:pPr>
            <w:r>
              <w:rPr>
                <w:rFonts w:ascii="Times New Roman" w:hAnsi="Times New Roman" w:cs="Times New Roman"/>
                <w:b/>
                <w:lang w:val="en-GB"/>
              </w:rPr>
              <w:t>壮大黄精产业集群。</w:t>
            </w:r>
            <w:r>
              <w:rPr>
                <w:rFonts w:ascii="Times New Roman" w:hAnsi="Times New Roman" w:cs="Times New Roman"/>
                <w:lang w:val="en-GB"/>
              </w:rPr>
              <w:t>提质升级黄精初加工产品集散交易中心，吸引武陵山片区及周边地区黄精产品向新晃集聚，发展黄精交易配套服务业，打造“买湘黔、卖世界”的黄精集散枢纽。筹办好中国黄精产业发展大会，发挥平台综合效应，大力招商引资，提升话语权和影响力，建设黄精科创中心，开发药食同源产品，深挖侗医药文化，开发具有新晃特色的“侗药黄精”系列产品。发挥森林覆盖率的生态优势，大力发展林下仿野生种植模式，扩大新晃细叶黄精种苗繁育和种植规模。构建从标准化种植、精深加工到品牌营销、文化体验的现代黄精产业全链条，打造“中国生态黄精之乡”。</w:t>
            </w:r>
          </w:p>
          <w:p>
            <w:pPr>
              <w:pStyle w:val="46"/>
              <w:ind w:firstLine="562"/>
              <w:rPr>
                <w:rFonts w:ascii="Times New Roman" w:hAnsi="Times New Roman" w:cs="Times New Roman"/>
                <w:lang w:val="en-GB"/>
              </w:rPr>
            </w:pPr>
            <w:r>
              <w:rPr>
                <w:rFonts w:ascii="Times New Roman" w:hAnsi="Times New Roman" w:cs="Times New Roman"/>
                <w:b/>
                <w:lang w:val="en-GB"/>
              </w:rPr>
              <w:t>提升龙脑产业能级。</w:t>
            </w:r>
            <w:r>
              <w:rPr>
                <w:rFonts w:ascii="Times New Roman" w:hAnsi="Times New Roman" w:cs="Times New Roman"/>
                <w:lang w:val="en-GB"/>
              </w:rPr>
              <w:t>以合成生物技术应用为方向，重点攻关超高纯度提取与结晶技术，研发医药级产品。积极参与或主导制定天然冰片行业标准和国家标准，掌握行业话语权。扩建龙脑樟GAP种植基地，推动药用、日化、康养产品系列化，建设龙脑日化产业园。实施龙头企业和“专精特新”企业培育工程，支持本地企业通过兼并重组、技术合作等方式做大做强。系统策划“新晃龙脑”品牌形象，讲好品牌故事，将“新晃龙脑”打造成为高品质天然冰片的代名词。推动龙脑产业从资源依赖向技术驱动转型，从原料供给向品牌输出升级，将其培育成为县域经济新的增长极和乡村振兴的支柱产业，打造“世界龙脑之乡”。</w:t>
            </w:r>
          </w:p>
          <w:p>
            <w:pPr>
              <w:pStyle w:val="46"/>
              <w:ind w:firstLine="562"/>
              <w:rPr>
                <w:rFonts w:ascii="Times New Roman" w:hAnsi="Times New Roman" w:cs="Times New Roman"/>
                <w:lang w:val="en-GB"/>
              </w:rPr>
            </w:pPr>
            <w:r>
              <w:rPr>
                <w:rFonts w:ascii="Times New Roman" w:hAnsi="Times New Roman" w:cs="Times New Roman"/>
                <w:b/>
                <w:lang w:val="en-GB"/>
              </w:rPr>
              <w:t>做优黄牛全产业链。</w:t>
            </w:r>
            <w:r>
              <w:rPr>
                <w:rFonts w:ascii="Times New Roman" w:hAnsi="Times New Roman" w:cs="Times New Roman"/>
                <w:lang w:val="en-GB"/>
              </w:rPr>
              <w:t>强化种质资源保护，建立新晃黄牛基因库，推进良种联合攻关与推广，完善疫病防控体系。推广家庭牧场养殖模式，通过“小群体、大规模”的组织形式，将分散的农户生产有效整合为区域性优势产业。加快构建新晃黄牛全产业链标准体系，制定并实施从牧场到餐桌的养殖、屠宰、加工、分级、贮运等团体或地方标准，建立健全质量安全追溯系统。发展黄牛精深加工产品，开发黄牛骨、血、脏器生物提取高值化利用。拓展国外市场，通过直播电商、文旅带货等提升品牌影响力。围绕黄牛繁育、养殖、育肥、加工和交易等全产业链开展数字化升级，继续推进黄牛领域的农业数据资产化示范。构建具有新晃特色的黄牛产业体系、生产体系和经营体系，打造“中国湘西黄牛之乡”。</w:t>
            </w:r>
          </w:p>
          <w:p>
            <w:pPr>
              <w:pStyle w:val="46"/>
              <w:ind w:firstLine="562"/>
              <w:rPr>
                <w:rFonts w:ascii="Times New Roman" w:hAnsi="Times New Roman" w:cs="Times New Roman"/>
                <w:lang w:val="en-GB"/>
              </w:rPr>
            </w:pPr>
            <w:r>
              <w:rPr>
                <w:rFonts w:ascii="Times New Roman" w:hAnsi="Times New Roman" w:cs="Times New Roman"/>
                <w:b/>
                <w:bCs w:val="0"/>
              </w:rPr>
              <w:t>巩固发展其他特色产业。</w:t>
            </w:r>
            <w:r>
              <w:rPr>
                <w:rFonts w:ascii="Times New Roman" w:hAnsi="Times New Roman" w:cs="Times New Roman"/>
              </w:rPr>
              <w:t>同步发展烤烟、侗藏红米、五倍子蜂蜜等特色产业，构建多元支撑、协同并进的中医药与生态食品产业体系。</w:t>
            </w:r>
            <w:r>
              <w:rPr>
                <w:rFonts w:ascii="Times New Roman" w:hAnsi="Times New Roman" w:cs="Times New Roman"/>
                <w:b/>
              </w:rPr>
              <w:t>烤烟产业</w:t>
            </w:r>
            <w:r>
              <w:rPr>
                <w:rFonts w:ascii="Times New Roman" w:hAnsi="Times New Roman" w:cs="Times New Roman"/>
              </w:rPr>
              <w:t>着力稳定种植面积，优化生产布局，推广绿色生产技术，加强烟田基础设施与集约化烘烤工场建设，保障烟农收益与财政贡献。</w:t>
            </w:r>
            <w:r>
              <w:rPr>
                <w:rFonts w:ascii="Times New Roman" w:hAnsi="Times New Roman" w:cs="Times New Roman"/>
                <w:b/>
              </w:rPr>
              <w:t>侗藏红米产业</w:t>
            </w:r>
            <w:r>
              <w:rPr>
                <w:rFonts w:ascii="Times New Roman" w:hAnsi="Times New Roman" w:cs="Times New Roman"/>
              </w:rPr>
              <w:t>重点推进标准化种植基地建设，扩大核心产区规模，强化“国家重要农业文化遗产”与“绿色食品”品牌保护与宣传，开发红米精深加工产品，提升文化附加值。</w:t>
            </w:r>
            <w:r>
              <w:rPr>
                <w:rFonts w:ascii="Times New Roman" w:hAnsi="Times New Roman" w:cs="Times New Roman"/>
                <w:b/>
              </w:rPr>
              <w:t>五倍子蜂蜜产业</w:t>
            </w:r>
            <w:r>
              <w:rPr>
                <w:rFonts w:ascii="Times New Roman" w:hAnsi="Times New Roman" w:cs="Times New Roman"/>
              </w:rPr>
              <w:t>持续扩大中蜂养殖规模，推动标准化、生态化养殖，支持龙头企业开展蜂蜜产品研发与品牌营销，积极拓展线上线下销售渠道。通过政策引导、科技赋能与市场驱动，推动各特色产业向标准化、品牌化、高值化发展。</w:t>
            </w:r>
          </w:p>
        </w:tc>
      </w:tr>
    </w:tbl>
    <w:p>
      <w:pPr>
        <w:pStyle w:val="25"/>
        <w:ind w:firstLine="602"/>
        <w:rPr>
          <w:rFonts w:ascii="Times New Roman" w:hAnsi="Times New Roman" w:cs="Times New Roman"/>
          <w:lang w:val="en-GB"/>
        </w:rPr>
      </w:pPr>
      <w:bookmarkStart w:id="84" w:name="OLE_LINK44"/>
      <w:r>
        <w:rPr>
          <w:rFonts w:ascii="Times New Roman" w:hAnsi="Times New Roman" w:eastAsia="楷体" w:cs="Times New Roman"/>
          <w:b/>
          <w:bCs/>
          <w:lang w:val="en-GB"/>
        </w:rPr>
        <w:t>培育新兴增长极，</w:t>
      </w:r>
      <w:bookmarkEnd w:id="84"/>
      <w:r>
        <w:rPr>
          <w:rFonts w:ascii="Times New Roman" w:hAnsi="Times New Roman" w:eastAsia="楷体" w:cs="Times New Roman"/>
          <w:b/>
          <w:bCs/>
          <w:lang w:val="en-GB"/>
        </w:rPr>
        <w:t>打造百亿级文旅康养产业集群。</w:t>
      </w:r>
      <w:r>
        <w:rPr>
          <w:rFonts w:ascii="Times New Roman" w:hAnsi="Times New Roman" w:cs="Times New Roman"/>
          <w:lang w:val="en-GB"/>
        </w:rPr>
        <w:t>立足侗乡文化底蕴与生态资源优势，重点培育以文旅康养为代表的新兴增长极，打造百亿级产业集群。践行“文化为魂、生态为基、康养为体”理念，既守护侗族大歌、傩戏等文化根脉，更创新沉浸式体验、中医药康养等业态场景，打造“中国侗医康养标杆县”。以龙溪古镇为核心，整合夜郎大峡谷、桂花岛、黄家垅森林公园、汞矿工业遗址、黄牛和黄精文化产业园工业旅游示范点等县城及周边资源，构建功能互补、线路串联的环城文旅康养圈，鼓励挖掘天井寨等分布各乡镇的优质资源点，构建“一心一圈多点”文旅康养空间格局。重点发展医养旅居、侗医药体验、温泉度假康养和生态健康研学四大模式，开发锶矿温泉养身、侗医药理疗、龙脑香薰养生、黄精药膳等特色康养产品。打造以康养文化为主，侗族文化、夜郎文化、红色文化、驿站文化、西南联大研学文化等多元文化为辅的IP矩阵，举办中国侗医康养文化节，形成“文化标识+产品矩阵+节会引流”的IP体系。依托两大省级中医药康养旅游示范体验基地，建设侗医药康养综合体、黄精种植研学基地，开发“采制—诊疗—研学—旅居”全链条体验项目。</w:t>
      </w:r>
    </w:p>
    <w:p>
      <w:pPr>
        <w:pStyle w:val="29"/>
        <w:numPr>
          <w:ilvl w:val="0"/>
          <w:numId w:val="5"/>
        </w:numPr>
        <w:rPr>
          <w:rFonts w:ascii="Times New Roman" w:hAnsi="Times New Roman" w:cs="Times New Roman"/>
          <w:lang w:val="en-GB"/>
        </w:rPr>
      </w:pPr>
      <w:bookmarkStart w:id="85" w:name="_Toc216945817"/>
      <w:bookmarkStart w:id="86" w:name="OLE_LINK60"/>
      <w:r>
        <w:rPr>
          <w:rFonts w:ascii="Times New Roman" w:hAnsi="Times New Roman" w:cs="Times New Roman"/>
          <w:lang w:val="en-GB"/>
        </w:rPr>
        <w:t>积极培育新型经济业态</w:t>
      </w:r>
      <w:bookmarkEnd w:id="85"/>
    </w:p>
    <w:bookmarkEnd w:id="86"/>
    <w:p>
      <w:pPr>
        <w:pStyle w:val="25"/>
        <w:ind w:firstLine="600"/>
        <w:rPr>
          <w:rFonts w:ascii="Times New Roman" w:hAnsi="Times New Roman" w:cs="Times New Roman"/>
          <w:lang w:val="en-GB"/>
        </w:rPr>
      </w:pPr>
      <w:r>
        <w:rPr>
          <w:rFonts w:ascii="Times New Roman" w:hAnsi="Times New Roman" w:cs="Times New Roman"/>
          <w:lang w:val="en-GB"/>
        </w:rPr>
        <w:t>着眼未来经济发展趋势，将培育壮大新经济业态作为构建现代化产业体系、激发县域经济新动能的重要抓手，重点发展流量经济和低空经济，培育具有区域竞争力的新经济增长点。</w:t>
      </w:r>
    </w:p>
    <w:p>
      <w:pPr>
        <w:pStyle w:val="25"/>
        <w:ind w:firstLine="602"/>
        <w:rPr>
          <w:rFonts w:ascii="Times New Roman" w:hAnsi="Times New Roman" w:cs="Times New Roman"/>
        </w:rPr>
      </w:pPr>
      <w:r>
        <w:rPr>
          <w:rFonts w:ascii="Times New Roman" w:hAnsi="Times New Roman" w:eastAsia="楷体" w:cs="Times New Roman"/>
          <w:b/>
          <w:bCs/>
        </w:rPr>
        <w:t>流量经济。</w:t>
      </w:r>
      <w:r>
        <w:rPr>
          <w:rFonts w:ascii="Times New Roman" w:hAnsi="Times New Roman" w:cs="Times New Roman"/>
        </w:rPr>
        <w:t>以“物流引流、平台聚流、服务活流、数据增流”为核心路径，将通道优势转化为经济增量。</w:t>
      </w:r>
      <w:r>
        <w:rPr>
          <w:rFonts w:ascii="Times New Roman" w:hAnsi="Times New Roman" w:cs="Times New Roman"/>
          <w:b/>
          <w:bCs/>
        </w:rPr>
        <w:t>打造区域性流量转化枢纽。</w:t>
      </w:r>
      <w:r>
        <w:rPr>
          <w:rFonts w:ascii="Times New Roman" w:hAnsi="Times New Roman" w:cs="Times New Roman"/>
        </w:rPr>
        <w:t>依托大新公铁联运物流园，发展以大宗商品、跨境电商包裹为核心的高流量货类集散分拨业务，建设一批单品分拨中心；出台扶持政策，吸引周边货源在新晃集结、交易、结算，发展一批贸易型总部经济；发挥低成本物流优势，引进一批来料加工产业。联合主流电商平台和MCN机构，建设电商直播选品中心，为特色产品提供一站式直播带货服务。</w:t>
      </w:r>
      <w:r>
        <w:rPr>
          <w:rFonts w:ascii="Times New Roman" w:hAnsi="Times New Roman" w:cs="Times New Roman"/>
          <w:b/>
          <w:bCs/>
        </w:rPr>
        <w:t>构建线上线下融合的流量入口矩阵。</w:t>
      </w:r>
      <w:r>
        <w:rPr>
          <w:rFonts w:ascii="Times New Roman" w:hAnsi="Times New Roman" w:cs="Times New Roman"/>
        </w:rPr>
        <w:t>依托沪昆通道和新晃流量经济体平台，综合施策、精准营销，做好引流和转化文章，吸引更多的“过客”变成“游客”。线上，开发智慧文旅小程序，借助短视频平台进行精准引流。线下，在龙溪古镇、㵲水风光带等核心景区，打造沉浸式夜游、国潮集市、侗族风情快闪等高流量消费场景，实现线下体验向线上传播的即时转化。</w:t>
      </w:r>
      <w:r>
        <w:rPr>
          <w:rFonts w:ascii="Times New Roman" w:hAnsi="Times New Roman" w:cs="Times New Roman"/>
          <w:b/>
          <w:bCs/>
        </w:rPr>
        <w:t>拓展流量价值的衍生服务。</w:t>
      </w:r>
      <w:r>
        <w:rPr>
          <w:rFonts w:ascii="Times New Roman" w:hAnsi="Times New Roman" w:cs="Times New Roman"/>
        </w:rPr>
        <w:t>培育本土流量运营服务商，为企业提供内容创作、数字营销、用户运营等专业服务。探索发展会展经济，争取承办特色产业博览会等区域性会展活动，带来高价值的人流、信息流和资金流。</w:t>
      </w:r>
    </w:p>
    <w:p>
      <w:pPr>
        <w:pStyle w:val="25"/>
        <w:ind w:firstLine="602"/>
        <w:rPr>
          <w:rFonts w:ascii="Times New Roman" w:hAnsi="Times New Roman" w:cs="Times New Roman"/>
        </w:rPr>
      </w:pPr>
      <w:r>
        <w:rPr>
          <w:rFonts w:ascii="Times New Roman" w:hAnsi="Times New Roman" w:eastAsia="楷体" w:cs="Times New Roman"/>
          <w:b/>
          <w:bCs/>
        </w:rPr>
        <w:t>低空经济。</w:t>
      </w:r>
      <w:r>
        <w:rPr>
          <w:rFonts w:ascii="Times New Roman" w:hAnsi="Times New Roman" w:cs="Times New Roman"/>
        </w:rPr>
        <w:t>把握低空经济发展机遇，将低空空域作为战略性资源进行系统性开发利用。</w:t>
      </w:r>
      <w:r>
        <w:rPr>
          <w:rFonts w:ascii="Times New Roman" w:hAnsi="Times New Roman" w:cs="Times New Roman"/>
          <w:b/>
          <w:bCs/>
        </w:rPr>
        <w:t>高效益建设低空基础设施网络。</w:t>
      </w:r>
      <w:r>
        <w:rPr>
          <w:rFonts w:ascii="Times New Roman" w:hAnsi="Times New Roman" w:cs="Times New Roman"/>
        </w:rPr>
        <w:t>加快推进新晃通用机场的建设工作，围绕景区、园区、交通枢纽及应急中心，以低成本、高效益建设为原则，规划布局直升机起降点与无人机飞行服务站。构建“外联内通”的短途运输交通网，建设机场与大新公铁联运物流园、新晃产业开发区、新晃站、新晃西站之间的“快速通道”，打造湘西—黔东南半小时低空旅游经济圈。</w:t>
      </w:r>
      <w:r>
        <w:rPr>
          <w:rFonts w:ascii="Times New Roman" w:hAnsi="Times New Roman" w:cs="Times New Roman"/>
          <w:b/>
          <w:bCs/>
        </w:rPr>
        <w:t>全领域拓展低空融合应用场景。</w:t>
      </w:r>
      <w:r>
        <w:rPr>
          <w:rFonts w:ascii="Times New Roman" w:hAnsi="Times New Roman" w:cs="Times New Roman"/>
        </w:rPr>
        <w:t>培育发展“应急保障、物流运输、文旅消费、生产作业”四大低空应用矩阵。优先发展城市低空应急响应体系，强化在医疗救护、消防灭火、警务巡逻等公共服务领域的应用。规划低空物流配送网络，探索山区、偏远乡村的医疗物资、农产品、电商包裹等无人机精准投送服务，发展冷链生鲜、高附加值工业零部件的空中快速运输业务。开辟连接天雷山、龙溪古镇、夜郎大峡谷等景区的低空观光航线，开发飞行体验、航空运动等高端文旅消费产品。推动无人机在现代农业植保、工业设施巡检、环境监测等领域的规模化应用。</w:t>
      </w:r>
      <w:r>
        <w:rPr>
          <w:rFonts w:ascii="Times New Roman" w:hAnsi="Times New Roman" w:cs="Times New Roman"/>
          <w:b/>
          <w:bCs/>
        </w:rPr>
        <w:t>前瞻性布局“低空+”产业生态。</w:t>
      </w:r>
      <w:r>
        <w:rPr>
          <w:rFonts w:ascii="Times New Roman" w:hAnsi="Times New Roman" w:cs="Times New Roman"/>
        </w:rPr>
        <w:t>前瞻性研究城市空中交通（UAM）可行性，规划潜在航线和起降点。鼓励发展飞行培训、维护保养等关联产业，吸引相关企业集聚，逐步构建涵盖运营服务、装备制造的低空经济产业链，将低空经济培育成为县域经济新的增长极。</w:t>
      </w:r>
    </w:p>
    <w:p>
      <w:pPr>
        <w:pStyle w:val="25"/>
        <w:ind w:firstLine="602"/>
        <w:rPr>
          <w:rFonts w:ascii="Times New Roman" w:hAnsi="Times New Roman" w:cs="Times New Roman"/>
        </w:rPr>
      </w:pPr>
      <w:r>
        <w:rPr>
          <w:rFonts w:ascii="Times New Roman" w:hAnsi="Times New Roman" w:eastAsia="楷体" w:cs="Times New Roman"/>
          <w:b/>
          <w:bCs/>
          <w:szCs w:val="32"/>
          <w:lang w:val="en-GB"/>
        </w:rPr>
        <w:t>数字经济。</w:t>
      </w:r>
      <w:r>
        <w:rPr>
          <w:rFonts w:ascii="Times New Roman" w:hAnsi="Times New Roman" w:cs="Times New Roman"/>
          <w:lang w:val="en-GB"/>
        </w:rPr>
        <w:t>坚持以数据为核心生产要素、以数字技术为驱动引擎，统筹推进产业数字化、数字产业化、数据价值化与数字化治理，构建全域感知、数智驱动、惠企利民的智慧化发展体系。</w:t>
      </w:r>
      <w:r>
        <w:rPr>
          <w:rFonts w:ascii="Times New Roman" w:hAnsi="Times New Roman" w:cs="Times New Roman"/>
          <w:b/>
          <w:bCs/>
          <w:lang w:val="en-GB"/>
        </w:rPr>
        <w:t>推进产业数字化转型。</w:t>
      </w:r>
      <w:r>
        <w:rPr>
          <w:rFonts w:ascii="Times New Roman" w:hAnsi="Times New Roman" w:cs="Times New Roman"/>
          <w:lang w:val="en-GB"/>
        </w:rPr>
        <w:t>以“1+1+1”现代化产业体系为主战场，推动数字技术与实体经济深度融合。工业领域，实施“上云用数赋智”行动，鼓励企业全流程应用工业互联网平台和AI大模型；重点在精细化工产业建设3—5个智能制造标杆企业和10个以上数字化车间。农业领域，深化“智慧农业”应用，建设特色产业数字化示范基地，集成物联网监测、智能灌溉、精准饲喂、病虫害AI识别系统，提升生产标准化与产品附加值。服务业领域，推动文旅康养、商贸物流等业态数字化升级，打造“智慧景区”“数字商圈”，发展沉浸式体验、智慧导览、无人零售等新场景。</w:t>
      </w:r>
      <w:r>
        <w:rPr>
          <w:rFonts w:ascii="Times New Roman" w:hAnsi="Times New Roman" w:cs="Times New Roman"/>
          <w:b/>
          <w:bCs/>
          <w:lang w:val="en-GB"/>
        </w:rPr>
        <w:t>布局数字产业化赛道。</w:t>
      </w:r>
      <w:r>
        <w:rPr>
          <w:rFonts w:ascii="Times New Roman" w:hAnsi="Times New Roman" w:cs="Times New Roman"/>
          <w:lang w:val="en-GB"/>
        </w:rPr>
        <w:t>立足“全国县域数字经济发展示范县”基础，做大做强数字服务业，重点发展数据服务、电子商务、软件和信息服务、数字内容创作等方向。支持开源数字集团等龙头企业拓展外部市场，鼓励发展面向东盟的跨境数据服务和软件外包。继续升级和推广晃牛保等标杆性数据产品，促进盈利性转化。</w:t>
      </w:r>
      <w:r>
        <w:rPr>
          <w:rFonts w:ascii="Times New Roman" w:hAnsi="Times New Roman" w:cs="Times New Roman"/>
          <w:b/>
          <w:bCs/>
          <w:lang w:val="en-GB"/>
        </w:rPr>
        <w:t>激活数据价值化潜能。</w:t>
      </w:r>
      <w:r>
        <w:rPr>
          <w:rFonts w:ascii="Times New Roman" w:hAnsi="Times New Roman" w:cs="Times New Roman"/>
          <w:lang w:val="en-GB"/>
        </w:rPr>
        <w:t>推动政务数据、产业数据、社会数据“应汇尽汇”与融合治理。探索建立县级数据资产登记评估、确权定价、交易流通机制，开展数据资产入表、数据质押融资等试点。拓展数据产品在农业保险、普惠金融、精准营销、碳汇交易等领域的深度应用。建立健全数据安全管理、合规审查与跨境流动机制。</w:t>
      </w:r>
      <w:r>
        <w:rPr>
          <w:rFonts w:ascii="Times New Roman" w:hAnsi="Times New Roman" w:cs="Times New Roman"/>
          <w:b/>
          <w:bCs/>
          <w:lang w:val="en-GB"/>
        </w:rPr>
        <w:t>提升数字化治理效能。</w:t>
      </w:r>
      <w:r>
        <w:rPr>
          <w:rFonts w:ascii="Times New Roman" w:hAnsi="Times New Roman" w:cs="Times New Roman"/>
          <w:lang w:val="en-GB"/>
        </w:rPr>
        <w:t>以“一网统管、一网通办”为核心，提升城市治理现代化水平。做优智慧政务，深化“一件事一次办”改革，推动更多服务事项“全程网办”“跨省通办”。做精城市管理，实施智慧交通信号优化、智能停车引导、智慧水务、智慧管网、智慧照明等项目。做强应急指挥，建设“智慧应急一张图”平台。深化与玉屏等周边地区的数据共享与业务协同，共同提升区域治理效能。</w:t>
      </w:r>
    </w:p>
    <w:p>
      <w:pPr>
        <w:pStyle w:val="29"/>
        <w:numPr>
          <w:ilvl w:val="0"/>
          <w:numId w:val="5"/>
        </w:numPr>
        <w:rPr>
          <w:rFonts w:ascii="Times New Roman" w:hAnsi="Times New Roman" w:cs="Times New Roman"/>
          <w:lang w:val="en-GB"/>
        </w:rPr>
      </w:pPr>
      <w:bookmarkStart w:id="87" w:name="_Toc216945818"/>
      <w:bookmarkStart w:id="88" w:name="OLE_LINK62"/>
      <w:r>
        <w:rPr>
          <w:rFonts w:ascii="Times New Roman" w:hAnsi="Times New Roman" w:cs="Times New Roman"/>
          <w:lang w:val="en-GB"/>
        </w:rPr>
        <w:t>大力发展现代服务业</w:t>
      </w:r>
      <w:bookmarkEnd w:id="87"/>
    </w:p>
    <w:bookmarkEnd w:id="88"/>
    <w:p>
      <w:pPr>
        <w:pStyle w:val="25"/>
        <w:ind w:firstLine="600"/>
        <w:rPr>
          <w:rFonts w:ascii="Times New Roman" w:hAnsi="Times New Roman" w:cs="Times New Roman"/>
          <w:lang w:val="en-GB"/>
        </w:rPr>
      </w:pPr>
      <w:r>
        <w:rPr>
          <w:rFonts w:ascii="Times New Roman" w:hAnsi="Times New Roman" w:cs="Times New Roman"/>
          <w:lang w:val="en-GB"/>
        </w:rPr>
        <w:t>围绕产业升级和民生需求，推动生产性服务业与生活性服务业协同发展，构建功能完善、业态丰富、辐射力强的现代服务业体系。</w:t>
      </w:r>
    </w:p>
    <w:p>
      <w:pPr>
        <w:pStyle w:val="25"/>
        <w:ind w:firstLine="602"/>
        <w:rPr>
          <w:rFonts w:ascii="Times New Roman" w:hAnsi="Times New Roman" w:cs="Times New Roman"/>
        </w:rPr>
      </w:pPr>
      <w:r>
        <w:rPr>
          <w:rFonts w:ascii="Times New Roman" w:hAnsi="Times New Roman" w:eastAsia="楷体" w:cs="Times New Roman"/>
          <w:b/>
          <w:bCs/>
          <w:lang w:val="en-GB"/>
        </w:rPr>
        <w:t>发展专业高效的生产性服务业。</w:t>
      </w:r>
      <w:bookmarkStart w:id="89" w:name="_Hlk207381823"/>
      <w:r>
        <w:rPr>
          <w:rFonts w:ascii="Times New Roman" w:hAnsi="Times New Roman" w:cs="Times New Roman"/>
        </w:rPr>
        <w:t>促进生产性服务业与制造业深度融合，构建以科技研发与信息技术服务为支撑、金融服务为保障、商务与专业服务为特色的生产性服务业体系，增强服务实体经济能力。</w:t>
      </w:r>
      <w:bookmarkStart w:id="90" w:name="OLE_LINK22"/>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25"/>
              <w:ind w:firstLine="0" w:firstLineChars="0"/>
              <w:jc w:val="center"/>
              <w:rPr>
                <w:rFonts w:ascii="Times New Roman" w:hAnsi="Times New Roman" w:cs="Times New Roman"/>
                <w:b/>
                <w:bCs/>
                <w:lang w:val="en-GB"/>
              </w:rPr>
            </w:pPr>
            <w:r>
              <w:rPr>
                <w:rFonts w:ascii="Times New Roman" w:hAnsi="Times New Roman" w:cs="Times New Roman"/>
                <w:b/>
                <w:bCs/>
                <w:lang w:val="en-GB"/>
              </w:rPr>
              <w:t>专栏六：生产性服务业发展重点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46"/>
              <w:ind w:firstLine="562"/>
              <w:rPr>
                <w:rFonts w:ascii="Times New Roman" w:hAnsi="Times New Roman" w:cs="Times New Roman"/>
                <w:b/>
              </w:rPr>
            </w:pPr>
            <w:r>
              <w:rPr>
                <w:rFonts w:ascii="Times New Roman" w:hAnsi="Times New Roman" w:cs="Times New Roman"/>
                <w:b/>
              </w:rPr>
              <w:t>科技研发服务</w:t>
            </w:r>
            <w:r>
              <w:rPr>
                <w:rFonts w:ascii="Times New Roman" w:hAnsi="Times New Roman" w:cs="Times New Roman"/>
              </w:rPr>
              <w:t>。统筹推进科技创新与产业创新深度融合，围绕产业重点领域，大力发展科技研发、检验检测、知识产权、工业设计等科技服务业态，建设区域性科技创新平台体系。</w:t>
            </w:r>
          </w:p>
          <w:p>
            <w:pPr>
              <w:pStyle w:val="46"/>
              <w:ind w:firstLine="562"/>
              <w:rPr>
                <w:rFonts w:ascii="Times New Roman" w:hAnsi="Times New Roman" w:cs="Times New Roman"/>
              </w:rPr>
            </w:pPr>
            <w:r>
              <w:rPr>
                <w:rFonts w:ascii="Times New Roman" w:hAnsi="Times New Roman" w:cs="Times New Roman"/>
                <w:b/>
              </w:rPr>
              <w:t>金融服务。</w:t>
            </w:r>
            <w:r>
              <w:rPr>
                <w:rFonts w:ascii="Times New Roman" w:hAnsi="Times New Roman" w:cs="Times New Roman"/>
              </w:rPr>
              <w:t>抢抓入列湖南省乡村振兴现代金融服务唯一试点县机遇，持续深化金融服务改革。推广“银政企农”四方合作模式，发展产业链金融与普惠金融。设立产业发展基金，支持重点产业链企业融资需求。推广“信易贷”，探索数据资产质押、农村产权抵押等金融产品创新。</w:t>
            </w:r>
          </w:p>
          <w:p>
            <w:pPr>
              <w:pStyle w:val="46"/>
              <w:ind w:firstLine="562"/>
              <w:rPr>
                <w:rFonts w:ascii="Times New Roman" w:hAnsi="Times New Roman" w:cs="Times New Roman"/>
              </w:rPr>
            </w:pPr>
            <w:r>
              <w:rPr>
                <w:rFonts w:ascii="Times New Roman" w:hAnsi="Times New Roman" w:cs="Times New Roman"/>
                <w:b/>
              </w:rPr>
              <w:t>信息技术服务。</w:t>
            </w:r>
            <w:r>
              <w:rPr>
                <w:rFonts w:ascii="Times New Roman" w:hAnsi="Times New Roman" w:cs="Times New Roman"/>
              </w:rPr>
              <w:t>提升算力与网络能力，充分整合和运用数据资源，推进工业互联网建设。新增3-5家省级智能制造标杆企业、3个以上数字化转型标杆项目和20个智能制造车间，赋能实体产业数字化转型。</w:t>
            </w:r>
          </w:p>
          <w:p>
            <w:pPr>
              <w:pStyle w:val="46"/>
              <w:ind w:firstLine="562"/>
              <w:rPr>
                <w:rFonts w:ascii="Times New Roman" w:hAnsi="Times New Roman" w:cs="Times New Roman"/>
              </w:rPr>
            </w:pPr>
            <w:r>
              <w:rPr>
                <w:rFonts w:ascii="Times New Roman" w:hAnsi="Times New Roman" w:cs="Times New Roman"/>
                <w:b/>
              </w:rPr>
              <w:t>专业技术服务。</w:t>
            </w:r>
            <w:r>
              <w:rPr>
                <w:rFonts w:ascii="Times New Roman" w:hAnsi="Times New Roman" w:cs="Times New Roman"/>
              </w:rPr>
              <w:t>发展跨境物流电商、会展服务、法律咨询、会计审计、人力资源服务等商务与专业服务业，助力本地企业拓展国际市场，提升产业配套服务能力。</w:t>
            </w:r>
          </w:p>
        </w:tc>
      </w:tr>
      <w:bookmarkEnd w:id="89"/>
      <w:bookmarkEnd w:id="90"/>
    </w:tbl>
    <w:p>
      <w:pPr>
        <w:pStyle w:val="25"/>
        <w:ind w:firstLine="602"/>
        <w:rPr>
          <w:rFonts w:ascii="Times New Roman" w:hAnsi="Times New Roman" w:cs="Times New Roman"/>
        </w:rPr>
      </w:pPr>
      <w:bookmarkStart w:id="91" w:name="OLE_LINK63"/>
      <w:r>
        <w:rPr>
          <w:rFonts w:ascii="Times New Roman" w:hAnsi="Times New Roman" w:eastAsia="楷体" w:cs="Times New Roman"/>
          <w:b/>
          <w:bCs/>
        </w:rPr>
        <w:t>发展多元融合的生活性服务业。</w:t>
      </w:r>
      <w:bookmarkEnd w:id="91"/>
      <w:r>
        <w:rPr>
          <w:rFonts w:ascii="Times New Roman" w:hAnsi="Times New Roman" w:cs="Times New Roman"/>
        </w:rPr>
        <w:t>推动生活性服务业向高品质和多样化升级，全面提升服务供给质量和效率，不断满足人民群众日益增长的美好生活需要。</w:t>
      </w:r>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25"/>
              <w:ind w:firstLine="0" w:firstLineChars="0"/>
              <w:jc w:val="center"/>
              <w:rPr>
                <w:rFonts w:ascii="Times New Roman" w:hAnsi="Times New Roman" w:cs="Times New Roman"/>
                <w:b/>
                <w:bCs/>
                <w:lang w:val="en-GB"/>
              </w:rPr>
            </w:pPr>
            <w:r>
              <w:rPr>
                <w:rFonts w:ascii="Times New Roman" w:hAnsi="Times New Roman" w:cs="Times New Roman"/>
                <w:b/>
                <w:bCs/>
                <w:lang w:val="en-GB"/>
              </w:rPr>
              <w:t>专栏七：生活性服务业发展重点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46"/>
              <w:ind w:firstLine="562"/>
              <w:rPr>
                <w:rFonts w:ascii="Times New Roman" w:hAnsi="Times New Roman" w:cs="Times New Roman"/>
              </w:rPr>
            </w:pPr>
            <w:r>
              <w:rPr>
                <w:rFonts w:ascii="Times New Roman" w:hAnsi="Times New Roman" w:cs="Times New Roman"/>
                <w:b/>
              </w:rPr>
              <w:t>现代商贸服务。</w:t>
            </w:r>
            <w:r>
              <w:rPr>
                <w:rFonts w:ascii="Times New Roman" w:hAnsi="Times New Roman" w:cs="Times New Roman"/>
              </w:rPr>
              <w:t>加快建设㵲水城镇带商贸综合体，推动扶罗镇、鱼市镇、凉伞镇等县域副中心建设智慧农贸市场，实现乡镇商贸中心覆盖率100%。引导连锁商超向农村延伸网点，支持社区电商、即时零售等新业态覆盖60%以上行政村。</w:t>
            </w:r>
          </w:p>
          <w:p>
            <w:pPr>
              <w:pStyle w:val="46"/>
              <w:ind w:firstLine="562"/>
              <w:rPr>
                <w:rFonts w:ascii="Times New Roman" w:hAnsi="Times New Roman" w:cs="Times New Roman"/>
                <w:b/>
              </w:rPr>
            </w:pPr>
            <w:r>
              <w:rPr>
                <w:rFonts w:ascii="Times New Roman" w:hAnsi="Times New Roman" w:cs="Times New Roman"/>
                <w:b/>
              </w:rPr>
              <w:t>养老托育服务。</w:t>
            </w:r>
            <w:r>
              <w:rPr>
                <w:rFonts w:ascii="Times New Roman" w:hAnsi="Times New Roman" w:cs="Times New Roman"/>
              </w:rPr>
              <w:t>积极应对和适应人口结构变化新趋势，加快建设老龄人友好城市和儿童友好城市，积极申报国家“一老一小”融合发展试点城市。在县中医医院建立医养服务中心，探索“医养融合”健康养老服务模式。加强普惠性托育服务体系建设，提质改造妇幼保健院医育结合中心和新晃托育服务中心。</w:t>
            </w:r>
          </w:p>
          <w:p>
            <w:pPr>
              <w:pStyle w:val="46"/>
              <w:ind w:firstLine="562"/>
              <w:rPr>
                <w:rFonts w:ascii="Times New Roman" w:hAnsi="Times New Roman" w:cs="Times New Roman"/>
                <w:b/>
              </w:rPr>
            </w:pPr>
            <w:r>
              <w:rPr>
                <w:rFonts w:ascii="Times New Roman" w:hAnsi="Times New Roman" w:cs="Times New Roman"/>
                <w:b/>
              </w:rPr>
              <w:t>便民与家政服务。</w:t>
            </w:r>
            <w:r>
              <w:rPr>
                <w:rFonts w:ascii="Times New Roman" w:hAnsi="Times New Roman" w:cs="Times New Roman"/>
              </w:rPr>
              <w:t>试点“一刻钟便民生活圈”建设，鼓励发展社区食堂、智慧菜场、便民维修点、老年服务站等设施，推动数字化改造，鼓励传统商家上线运营，发展无接触交易、智慧门店等新模式，打造“新晃家政”“新晃侗乡厨娘”“新晃康养护理”等特色服务劳务品牌。</w:t>
            </w:r>
          </w:p>
          <w:p>
            <w:pPr>
              <w:pStyle w:val="46"/>
              <w:ind w:firstLine="562"/>
              <w:rPr>
                <w:rFonts w:ascii="Times New Roman" w:hAnsi="Times New Roman" w:cs="Times New Roman"/>
              </w:rPr>
            </w:pPr>
            <w:r>
              <w:rPr>
                <w:rFonts w:ascii="Times New Roman" w:hAnsi="Times New Roman" w:cs="Times New Roman"/>
                <w:b/>
              </w:rPr>
              <w:t>休闲体育服务。</w:t>
            </w:r>
            <w:r>
              <w:rPr>
                <w:rFonts w:ascii="Times New Roman" w:hAnsi="Times New Roman" w:cs="Times New Roman"/>
              </w:rPr>
              <w:t>加大力度开发生态度假、户外运动及民俗体育体验项目。依托龙溪古镇、㵲水河等自然人文资源，积极开发户外运动、水上运动、生态康养等休闲体育新业态。持续办好特色品牌体育赛事，强化乡村体育人才队伍建设，推动休闲体育与乡村振兴、文化传承协同发展。</w:t>
            </w:r>
          </w:p>
        </w:tc>
      </w:tr>
    </w:tbl>
    <w:p>
      <w:pPr>
        <w:pStyle w:val="29"/>
        <w:numPr>
          <w:ilvl w:val="0"/>
          <w:numId w:val="5"/>
        </w:numPr>
        <w:rPr>
          <w:rFonts w:ascii="Times New Roman" w:hAnsi="Times New Roman" w:cs="Times New Roman"/>
          <w:lang w:val="en-GB"/>
        </w:rPr>
      </w:pPr>
      <w:bookmarkStart w:id="92" w:name="_Toc216945819"/>
      <w:r>
        <w:rPr>
          <w:rFonts w:ascii="Times New Roman" w:hAnsi="Times New Roman" w:cs="Times New Roman"/>
          <w:lang w:val="en-GB"/>
        </w:rPr>
        <w:t>强化园区核心承载能力</w:t>
      </w:r>
      <w:bookmarkEnd w:id="92"/>
    </w:p>
    <w:p>
      <w:pPr>
        <w:pStyle w:val="25"/>
        <w:ind w:firstLine="602"/>
        <w:rPr>
          <w:rFonts w:ascii="Times New Roman" w:hAnsi="Times New Roman" w:cs="Times New Roman"/>
        </w:rPr>
      </w:pPr>
      <w:r>
        <w:rPr>
          <w:rFonts w:ascii="Times New Roman" w:hAnsi="Times New Roman" w:eastAsia="楷体" w:cs="Times New Roman"/>
          <w:b/>
          <w:bCs/>
        </w:rPr>
        <w:t>提升园区综合能级。</w:t>
      </w:r>
      <w:r>
        <w:rPr>
          <w:rFonts w:ascii="Times New Roman" w:hAnsi="Times New Roman" w:cs="Times New Roman"/>
        </w:rPr>
        <w:t>优化新晃产业开发区“一区两园”空间格局（“一区”为新晃产业开发区，“两园”为前锋工业园和柏树林工业园）。完善开发区水、电、路、气、讯及标准化厂房等基础设施配套，重点推进集中供水、环状管网改造、跨区域供热供气、220kV变电站、公共管廊等关键设施建设，全面提升园区承载能力。深入推进“五好”园区建设，建立以亩均税收、亩均产值、研发投入占比等为核心的效益评价体系，推动园区从规模扩张向质量效益提升转变。强化省级化工园区核心平台的牵引作用，围绕钡系新材料、精细化工等方向延链补链，提升园区产业集聚度和竞争力。以专业化、集群化为方向，精心建设好大新公铁物流园、新金属材料产业基地、黄精城、黄牛产业园等特色园区，打造一批特色产业园中园。</w:t>
      </w:r>
    </w:p>
    <w:p>
      <w:pPr>
        <w:pStyle w:val="25"/>
        <w:ind w:firstLine="602"/>
        <w:rPr>
          <w:rFonts w:ascii="Times New Roman" w:hAnsi="Times New Roman" w:cs="Times New Roman"/>
        </w:rPr>
      </w:pPr>
      <w:r>
        <w:rPr>
          <w:rFonts w:ascii="Times New Roman" w:hAnsi="Times New Roman" w:eastAsia="楷体" w:cs="Times New Roman"/>
          <w:b/>
          <w:bCs/>
        </w:rPr>
        <w:t>强化要素保障能力。</w:t>
      </w:r>
      <w:r>
        <w:rPr>
          <w:rFonts w:ascii="Times New Roman" w:hAnsi="Times New Roman" w:cs="Times New Roman"/>
        </w:rPr>
        <w:t>创新土地供应模式，推行净地出让，推进低效用地再开发，保障重大项目用地需求。强化用能保障，深化与贵州大龙经开区的区域协同，全力争取电价政策支持，加快园区集中供气、蒸汽站等能源基础设施建设，积极构建清洁低碳、高效多元的园区能源体系。重点布局光伏储能、充电网络、碳捕集利用与封存（CCUS）等示范项目，推动能源结构优化与绿色低碳转型。畅通政银企对接渠道，引导金融资源精准滴灌重点产业与科创项目。重视环保要素保障，推进污水处理厂提标改造与再生水回用、污水管网新建与改造等工程，增强环境容量。大力推进循环化改造，实施废旧金属、废旧电池、工业废盐等资源化利用项目，提升固废综合利用水平。优化数据要素配置，赋能企业数字化转型，形成支撑产业创新发展的系统性、综合性要素保障新格局。</w:t>
      </w:r>
    </w:p>
    <w:p>
      <w:pPr>
        <w:pStyle w:val="25"/>
        <w:ind w:firstLine="602"/>
        <w:rPr>
          <w:rFonts w:ascii="Times New Roman" w:hAnsi="Times New Roman" w:cs="Times New Roman"/>
        </w:rPr>
      </w:pPr>
      <w:r>
        <w:rPr>
          <w:rFonts w:ascii="Times New Roman" w:hAnsi="Times New Roman" w:eastAsia="楷体" w:cs="Times New Roman"/>
          <w:b/>
          <w:bCs/>
        </w:rPr>
        <w:t>深化园区体制改革。</w:t>
      </w:r>
      <w:r>
        <w:rPr>
          <w:rFonts w:ascii="Times New Roman" w:hAnsi="Times New Roman" w:cs="Times New Roman"/>
        </w:rPr>
        <w:t>坚持以市场化改革和制度型开放为核心动力，全面深化园区管理体制与运营机制改革。推行“管委会+平台公司”市场化运营模式，激发内生动力。高标准建设园区企业服务中心，集成各类涉企服务，实现“一窗受理、并联审批”，提升服务效能。搭建工业互联网平台、部署智慧安全监管与危化品运输跟踪系统，全面提升园区智能化管理、安全生产与应急响应水平。</w:t>
      </w:r>
    </w:p>
    <w:p>
      <w:pPr>
        <w:pStyle w:val="24"/>
        <w:numPr>
          <w:ilvl w:val="0"/>
          <w:numId w:val="1"/>
        </w:numPr>
      </w:pPr>
      <w:bookmarkStart w:id="93" w:name="_Toc216945820"/>
      <w:bookmarkStart w:id="94" w:name="_Hlk214602780"/>
      <w:r>
        <w:t>推进乡村振兴 建设村美业兴人和新家园</w:t>
      </w:r>
      <w:bookmarkEnd w:id="93"/>
    </w:p>
    <w:p>
      <w:pPr>
        <w:pStyle w:val="25"/>
        <w:ind w:firstLine="600"/>
        <w:rPr>
          <w:rFonts w:ascii="Times New Roman" w:hAnsi="Times New Roman" w:cs="Times New Roman"/>
          <w:lang w:val="en-GB"/>
        </w:rPr>
      </w:pPr>
      <w:r>
        <w:rPr>
          <w:rFonts w:ascii="Times New Roman" w:hAnsi="Times New Roman" w:cs="Times New Roman"/>
          <w:lang w:val="en-GB"/>
        </w:rPr>
        <w:t>把解决好“三农”问题作为全县工作重中之重，牢牢把握乡村振兴战略总要求，加快建设现代农业体系，改善农村人居环境，促进农民增收致富，建设宜居宜业和美乡村，开创乡村全面振兴新局面。</w:t>
      </w:r>
    </w:p>
    <w:p>
      <w:pPr>
        <w:pStyle w:val="29"/>
        <w:numPr>
          <w:ilvl w:val="0"/>
          <w:numId w:val="6"/>
        </w:numPr>
        <w:rPr>
          <w:rFonts w:ascii="Times New Roman" w:hAnsi="Times New Roman" w:cs="Times New Roman"/>
        </w:rPr>
      </w:pPr>
      <w:bookmarkStart w:id="95" w:name="_Toc216945821"/>
      <w:r>
        <w:rPr>
          <w:rFonts w:ascii="Times New Roman" w:hAnsi="Times New Roman" w:cs="Times New Roman"/>
        </w:rPr>
        <w:t>做优做强现代化农业</w:t>
      </w:r>
      <w:bookmarkEnd w:id="95"/>
    </w:p>
    <w:p>
      <w:pPr>
        <w:pStyle w:val="25"/>
        <w:ind w:firstLine="602"/>
        <w:rPr>
          <w:rFonts w:ascii="Times New Roman" w:hAnsi="Times New Roman" w:cs="Times New Roman"/>
          <w:b/>
          <w:bCs/>
        </w:rPr>
      </w:pPr>
      <w:r>
        <w:rPr>
          <w:rFonts w:ascii="Times New Roman" w:hAnsi="Times New Roman" w:eastAsia="楷体" w:cs="Times New Roman"/>
          <w:b/>
          <w:bCs/>
        </w:rPr>
        <w:t>提升农产品供给保障能力。</w:t>
      </w:r>
      <w:r>
        <w:rPr>
          <w:rFonts w:ascii="Times New Roman" w:hAnsi="Times New Roman" w:cs="Times New Roman"/>
        </w:rPr>
        <w:t>保障粮油安全生产。坚决扛稳粮食安全政治责任，全面落实粮食安全党政同责，坚持稳面积、增单产两手发力，确保粮食播种面积稳定在24.2万亩以上。深入实施新一轮千亿斤粮食产能提升行动，分类推进全县10万亩高标准农田改造提升工程，完善农田灌溉、田间道路等基础设施，严格保护永久基本农田，加强项目建后管护，确保长期发挥效益。健全农业社会化服务体系，优化农业科技供给，加大智能化、丘陵山区适用农机装备推广应用，促进良田良种良机良法集成增效。扎实推进大豆和油料产能提升工程，落实“菜篮子”市长负责制，树立大农业观、大食物观，加快构建多元化食物供给体系。推行稻油轮作模式，推广精准灌溉、密植高产等关键技术，促进粮油作物大面积均衡增产。保障畜牧产品供给。围绕新晃黄牛等特色优势产业，新建10个标准化养殖基地，力争年出栏肉牛新增5万头，配套建设现代化屠宰加工厂、冷链物流中心及品牌营销体系。建设5000亩集中连片优质饲草基地，积极引入水肥一体化、物联网等先进技术，构建“种植—养殖—加工—还田”绿色循环产业链。加强地方品种保护与开发，推进黄牛、凉伞花猪等地方特色畜禽良种繁育体系建设，提升优质种源供应能力和产业核心竞争力。</w:t>
      </w:r>
    </w:p>
    <w:p>
      <w:pPr>
        <w:pStyle w:val="25"/>
        <w:ind w:firstLine="602"/>
        <w:rPr>
          <w:rFonts w:ascii="Times New Roman" w:hAnsi="Times New Roman" w:cs="Times New Roman"/>
        </w:rPr>
      </w:pPr>
      <w:r>
        <w:rPr>
          <w:rFonts w:ascii="Times New Roman" w:hAnsi="Times New Roman" w:eastAsia="楷体" w:cs="Times New Roman"/>
          <w:b/>
          <w:bCs/>
        </w:rPr>
        <w:t>推进农产品精深加工。</w:t>
      </w:r>
      <w:r>
        <w:rPr>
          <w:rFonts w:ascii="Times New Roman" w:hAnsi="Times New Roman" w:cs="Times New Roman"/>
          <w:b/>
          <w:bCs/>
        </w:rPr>
        <w:t>打造特色农产品精品化加工集群。</w:t>
      </w:r>
      <w:r>
        <w:rPr>
          <w:rFonts w:ascii="Times New Roman" w:hAnsi="Times New Roman" w:cs="Times New Roman"/>
        </w:rPr>
        <w:t>以“新晃三宝”为核心引领，联动“侗藏红米”“凉伞花猪”等特色资源，构建多元化、高附加值的精品加工体系。坚持用工业化思维发展农业，加速中国黄精城、新晃黄牛产业园建设，高标准打造农产品加工集聚区。鼓励支持乡村盘活农户和集体闲置资产，因地制宜发展产业小区、小型加工厂和加工作坊，提高农产品加工转化率。围绕产品价值最大化，做好新产品开发文章，推动黄精由原料集散向“药食同源”产品矩阵升级，实现黄牛产业全链高值化与副产物综合利用，拓展龙脑医药级与大日化精深加工路径。同时，精细化开发“侗藏红米”红米素、红米肽等抗氧化产品，形成“一品一链、链链生辉”的集群发展格局。通过统筹布局乡镇特色加工点与县域集中加工园区，推动SC认证、文创设计与电商赋能，实现农产品从“土特产”到“精品礼”的跨越。</w:t>
      </w:r>
      <w:r>
        <w:rPr>
          <w:rFonts w:ascii="Times New Roman" w:hAnsi="Times New Roman" w:cs="Times New Roman"/>
          <w:b/>
          <w:bCs/>
          <w:szCs w:val="32"/>
          <w:lang w:val="en-GB"/>
        </w:rPr>
        <w:t>构建智能化绿色化加工支撑体系。</w:t>
      </w:r>
      <w:r>
        <w:rPr>
          <w:rFonts w:ascii="Times New Roman" w:hAnsi="Times New Roman" w:cs="Times New Roman"/>
          <w:szCs w:val="32"/>
          <w:lang w:val="en-GB"/>
        </w:rPr>
        <w:t>推</w:t>
      </w:r>
      <w:r>
        <w:rPr>
          <w:rFonts w:ascii="Times New Roman" w:hAnsi="Times New Roman" w:cs="Times New Roman"/>
        </w:rPr>
        <w:t>动人工智能、物联网等技术在农产品加工环节的深度应用，建设智能车间与数字孪生平台。完善冷链物流与智慧仓储设施建设，打通从产地到消费的“最后一公里”。通过政策引导与金融支持，鼓励企业开展绿色食品、有机产品认证，推动精深加工产业向科技驱动、生态友好、效益显著的现代化方向转型。</w:t>
      </w:r>
      <w:r>
        <w:rPr>
          <w:rFonts w:ascii="Times New Roman" w:hAnsi="Times New Roman" w:cs="Times New Roman"/>
          <w:b/>
          <w:bCs/>
          <w:szCs w:val="32"/>
          <w:lang w:val="en-GB"/>
        </w:rPr>
        <w:t>培育“区域公用+企业产品”母子品牌体系。</w:t>
      </w:r>
      <w:r>
        <w:rPr>
          <w:rFonts w:ascii="Times New Roman" w:hAnsi="Times New Roman" w:cs="Times New Roman"/>
        </w:rPr>
        <w:t>持续做强“新晃黄精”“新晃黄牛”“新晃右旋龙脑樟”“侗藏红米”等区域公用品牌。鼓励龙头企业、合作社创建企业品牌和产品品牌，形成“区域公用品牌+企业产品品牌”的母子品牌体系。办好中国黄精产业发展大会等品牌节会，做好品牌推广文章，持续提升特色产业的行业影响力和市场话语权。深化与湖南农业大学、湖南中医药大学等高校及科研机构的校地合作，共建品牌研究与推广平台，为县域公用品牌的标准制定、品质提升、文化挖掘与市场拓展提供支撑。</w:t>
      </w:r>
    </w:p>
    <w:p>
      <w:pPr>
        <w:pStyle w:val="29"/>
        <w:numPr>
          <w:ilvl w:val="0"/>
          <w:numId w:val="6"/>
        </w:numPr>
        <w:rPr>
          <w:rFonts w:ascii="Times New Roman" w:hAnsi="Times New Roman" w:cs="Times New Roman"/>
        </w:rPr>
      </w:pPr>
      <w:bookmarkStart w:id="96" w:name="_Toc216945822"/>
      <w:r>
        <w:rPr>
          <w:rFonts w:ascii="Times New Roman" w:hAnsi="Times New Roman" w:cs="Times New Roman"/>
        </w:rPr>
        <w:t>激活乡村发展内生动力</w:t>
      </w:r>
      <w:bookmarkEnd w:id="96"/>
    </w:p>
    <w:p>
      <w:pPr>
        <w:pStyle w:val="25"/>
        <w:ind w:firstLine="602"/>
        <w:rPr>
          <w:rFonts w:ascii="Times New Roman" w:hAnsi="Times New Roman" w:cs="Times New Roman"/>
        </w:rPr>
      </w:pPr>
      <w:r>
        <w:rPr>
          <w:rFonts w:ascii="Times New Roman" w:hAnsi="Times New Roman" w:eastAsia="楷体" w:cs="Times New Roman"/>
          <w:b/>
          <w:bCs/>
        </w:rPr>
        <w:t>盘活农村资源资产。</w:t>
      </w:r>
      <w:r>
        <w:rPr>
          <w:rFonts w:ascii="Times New Roman" w:hAnsi="Times New Roman" w:cs="Times New Roman"/>
        </w:rPr>
        <w:t>稳步推进二轮承包到期后再延长三十年试点，稳定土地承包关系。深化农村土地制度改革，稳妥推进农村集体经营性建设用地入市，促进土地规范有序流转。实施全域土地综合整治、工矿废弃地复垦、碎片化建设用地整合，有效盘活农村存量建设用地资源。全面摸排并高效利用农村闲置的校舍、养老设施、农场、国有林场等存量资产，通过功能转换、改造提升等方式，发展乡村产业项目，实现存量资产保值增值与乡村产业发展的良性互动。</w:t>
      </w:r>
    </w:p>
    <w:p>
      <w:pPr>
        <w:pStyle w:val="25"/>
        <w:ind w:firstLine="602"/>
        <w:rPr>
          <w:rFonts w:ascii="Times New Roman" w:hAnsi="Times New Roman" w:cs="Times New Roman"/>
        </w:rPr>
      </w:pPr>
      <w:r>
        <w:rPr>
          <w:rFonts w:ascii="Times New Roman" w:hAnsi="Times New Roman" w:eastAsia="楷体" w:cs="Times New Roman"/>
          <w:b/>
          <w:bCs/>
        </w:rPr>
        <w:t>培育新型经营主体。</w:t>
      </w:r>
      <w:r>
        <w:rPr>
          <w:rFonts w:ascii="Times New Roman" w:hAnsi="Times New Roman" w:cs="Times New Roman"/>
        </w:rPr>
        <w:t>加大“农字号”龙头企业引进和培育力度，充分发挥其辐射带动作用。规范发展农民专业合作社和家庭农场，提升农民组织化程度和市场风险应对能力。鼓励发展多种形式的农业产业化联合体，支持农业适度规模经营，建立健全“龙头企业+合作社+农户”等紧密型利益联结机制，带动农民增收致富。实施新时代青年回乡创业行动和村级本土直播电商人才培养全覆盖计划，引导更多的人创业农村、发展农业，培育更多的新型农民、新型业态，不断增强农业发展活力动力。</w:t>
      </w:r>
    </w:p>
    <w:p>
      <w:pPr>
        <w:pStyle w:val="25"/>
        <w:ind w:firstLine="602"/>
        <w:rPr>
          <w:rFonts w:ascii="Times New Roman" w:hAnsi="Times New Roman" w:cs="Times New Roman"/>
        </w:rPr>
      </w:pPr>
      <w:r>
        <w:rPr>
          <w:rFonts w:ascii="Times New Roman" w:hAnsi="Times New Roman" w:eastAsia="楷体" w:cs="Times New Roman"/>
          <w:b/>
          <w:bCs/>
        </w:rPr>
        <w:t>建强乡村人才队伍。</w:t>
      </w:r>
      <w:r>
        <w:rPr>
          <w:rFonts w:ascii="Times New Roman" w:hAnsi="Times New Roman" w:cs="Times New Roman"/>
        </w:rPr>
        <w:t>深入实施人才强农战略，着力引进一批高层次农业科技人才和经营管理人才，系统培育一批扎根农村的“土专家”“田秀才”和新型职业农民。依托县职业中专、产业基地和线上培训平台，围绕黄精种植、生态养殖、农产品电商等重点领域，开展精准化、实战化技能培训。建立健全乡村人才认证评价体系和激励机制，鼓励各类人才通过技术入股、成果转化、领办项目等多种方式积极参与乡村产业发展，为乡村振兴提供坚实的人才支撑和智力保障。</w:t>
      </w:r>
    </w:p>
    <w:p>
      <w:pPr>
        <w:pStyle w:val="29"/>
        <w:numPr>
          <w:ilvl w:val="0"/>
          <w:numId w:val="6"/>
        </w:numPr>
        <w:rPr>
          <w:rFonts w:ascii="Times New Roman" w:hAnsi="Times New Roman" w:cs="Times New Roman"/>
        </w:rPr>
      </w:pPr>
      <w:bookmarkStart w:id="97" w:name="_Toc216945823"/>
      <w:r>
        <w:rPr>
          <w:rFonts w:ascii="Times New Roman" w:hAnsi="Times New Roman" w:cs="Times New Roman"/>
        </w:rPr>
        <w:t>推进宜居宜业和美乡村建设</w:t>
      </w:r>
      <w:bookmarkEnd w:id="97"/>
    </w:p>
    <w:p>
      <w:pPr>
        <w:pStyle w:val="25"/>
        <w:ind w:firstLine="602"/>
        <w:rPr>
          <w:rFonts w:ascii="Times New Roman" w:hAnsi="Times New Roman" w:cs="Times New Roman"/>
        </w:rPr>
      </w:pPr>
      <w:r>
        <w:rPr>
          <w:rFonts w:ascii="Times New Roman" w:hAnsi="Times New Roman" w:eastAsia="楷体" w:cs="Times New Roman"/>
          <w:b/>
          <w:bCs/>
        </w:rPr>
        <w:t>持续改善农村人居环境。</w:t>
      </w:r>
      <w:r>
        <w:rPr>
          <w:rFonts w:ascii="Times New Roman" w:hAnsi="Times New Roman" w:cs="Times New Roman"/>
        </w:rPr>
        <w:t>学习运用“千万工程”经验，因地制宜推进农村空心房整治、户厕改造、生活垃圾污水处理和农业面源污染治理。实施农村团寨饮用水池消防化改造，提升农村消防安全保障能力。大力实施村庄绿化美化工程，努力构建“山地森林化、农田林网化、村落园林化、道路林荫化、庭院花果化”的乡村绿化格局。强化农村规划管控，加大农民建房管理力度，规范整治影响乡村整体风貌的建筑物和构筑物，重点加强对“一水四溪”（㵲水、</w:t>
      </w:r>
      <w:r>
        <w:rPr>
          <w:rFonts w:hint="eastAsia" w:ascii="Times New Roman" w:hAnsi="Times New Roman" w:cs="Times New Roman"/>
        </w:rPr>
        <w:t>西溪</w:t>
      </w:r>
      <w:r>
        <w:rPr>
          <w:rFonts w:ascii="Times New Roman" w:hAnsi="Times New Roman" w:cs="Times New Roman"/>
        </w:rPr>
        <w:t>、平溪、中和溪、龙溪等）沿岸、G242国道、G320国道、S335省道、重要旅游干线及高速公路沿线区域的乡村风貌管控和提升，着力打造生态宜居、富有侗乡特色的和美乡村。</w:t>
      </w:r>
    </w:p>
    <w:p>
      <w:pPr>
        <w:pStyle w:val="25"/>
        <w:ind w:firstLine="602"/>
        <w:rPr>
          <w:rFonts w:ascii="Times New Roman" w:hAnsi="Times New Roman" w:cs="Times New Roman"/>
        </w:rPr>
      </w:pPr>
      <w:r>
        <w:rPr>
          <w:rFonts w:ascii="Times New Roman" w:hAnsi="Times New Roman" w:eastAsia="楷体" w:cs="Times New Roman"/>
          <w:b/>
          <w:bCs/>
        </w:rPr>
        <w:t>提升乡村治理效能。</w:t>
      </w:r>
      <w:r>
        <w:rPr>
          <w:rFonts w:ascii="Times New Roman" w:hAnsi="Times New Roman" w:cs="Times New Roman"/>
          <w:lang w:val="en-GB"/>
        </w:rPr>
        <w:t>健全党组织领导下的自治、法治、德治相结合的乡村治理体系。全面加强农村基层党组织建设，选优配强村“两委”班子，优化带头人队伍结构，完善驻村第一书记和工作队制度。推进村民自治组织规范化建设，健全完善村民会议、村民代表会议制度，全面推广“四议两公开”工作法。加强农村法治建设，完善基层公共法律服务体系，培育“法律明白人”队伍，提升普法工作的针对性和实效性。积极推广“党建+网格化+数字化”治理模式，深化乡村治理“积分制”“清单制”实践应用。健全县乡村三级联动治理体系，推动治理重心下移、资源下沉</w:t>
      </w:r>
      <w:r>
        <w:rPr>
          <w:rFonts w:ascii="Times New Roman" w:hAnsi="Times New Roman" w:cs="Times New Roman"/>
        </w:rPr>
        <w:t>。加强乡村数字政务建设，实现乡镇数字政务服务全覆盖，让老百姓办事更方便更高效。</w:t>
      </w:r>
    </w:p>
    <w:p>
      <w:pPr>
        <w:pStyle w:val="25"/>
        <w:ind w:firstLine="602"/>
        <w:rPr>
          <w:rFonts w:ascii="Times New Roman" w:hAnsi="Times New Roman" w:cs="Times New Roman"/>
        </w:rPr>
      </w:pPr>
      <w:r>
        <w:rPr>
          <w:rFonts w:ascii="Times New Roman" w:hAnsi="Times New Roman" w:eastAsia="楷体" w:cs="Times New Roman"/>
          <w:b/>
          <w:bCs/>
        </w:rPr>
        <w:t>深化农村精神文明建设。</w:t>
      </w:r>
      <w:r>
        <w:rPr>
          <w:rFonts w:ascii="Times New Roman" w:hAnsi="Times New Roman" w:cs="Times New Roman"/>
          <w:lang w:val="en-GB"/>
        </w:rPr>
        <w:t>以社会主义核心价值观为引领，</w:t>
      </w:r>
      <w:r>
        <w:rPr>
          <w:rFonts w:ascii="Times New Roman" w:hAnsi="Times New Roman" w:cs="Times New Roman"/>
        </w:rPr>
        <w:t>实施村（居）民教育教化三年行动，有针对性地开展法律知识普及、文明习惯养成、传统文化传承、行为礼仪规范等方面的教育，</w:t>
      </w:r>
      <w:r>
        <w:rPr>
          <w:rFonts w:ascii="Times New Roman" w:hAnsi="Times New Roman" w:cs="Times New Roman"/>
          <w:lang w:val="en-GB"/>
        </w:rPr>
        <w:t>培育文明乡风、良好家风、淳朴民风。保护传承弘扬优秀侗族传统文化，丰富乡村公共文化服务供给。</w:t>
      </w:r>
      <w:r>
        <w:rPr>
          <w:rFonts w:ascii="Times New Roman" w:hAnsi="Times New Roman" w:cs="Times New Roman"/>
        </w:rPr>
        <w:t>开展身边好人、致富能人、道德模范、文明家庭评选活动，深化群众性精神文明创建。</w:t>
      </w:r>
      <w:r>
        <w:rPr>
          <w:rFonts w:ascii="Times New Roman" w:hAnsi="Times New Roman" w:cs="Times New Roman"/>
          <w:lang w:val="en-GB"/>
        </w:rPr>
        <w:t>持续推进农村移风易俗，治理高价彩礼、红白喜丧大操大办、相互攀比铺张浪费等陈规陋习，营造向上向善、风清气正的乡村社会新风尚。</w:t>
      </w:r>
    </w:p>
    <w:p>
      <w:pPr>
        <w:pStyle w:val="29"/>
        <w:numPr>
          <w:ilvl w:val="0"/>
          <w:numId w:val="6"/>
        </w:numPr>
        <w:rPr>
          <w:rFonts w:ascii="Times New Roman" w:hAnsi="Times New Roman" w:cs="Times New Roman"/>
        </w:rPr>
      </w:pPr>
      <w:bookmarkStart w:id="98" w:name="_Toc216945824"/>
      <w:r>
        <w:rPr>
          <w:rFonts w:ascii="Times New Roman" w:hAnsi="Times New Roman" w:cs="Times New Roman"/>
        </w:rPr>
        <w:t>完善强农富农惠农保障</w:t>
      </w:r>
      <w:bookmarkEnd w:id="98"/>
    </w:p>
    <w:p>
      <w:pPr>
        <w:pStyle w:val="25"/>
        <w:ind w:firstLine="602"/>
        <w:rPr>
          <w:rFonts w:ascii="Times New Roman" w:hAnsi="Times New Roman" w:cs="Times New Roman"/>
        </w:rPr>
      </w:pPr>
      <w:r>
        <w:rPr>
          <w:rFonts w:ascii="Times New Roman" w:hAnsi="Times New Roman" w:eastAsia="楷体" w:cs="Times New Roman"/>
          <w:b/>
          <w:bCs/>
        </w:rPr>
        <w:t>落实强农富农惠农政策。</w:t>
      </w:r>
      <w:r>
        <w:rPr>
          <w:rFonts w:ascii="Times New Roman" w:hAnsi="Times New Roman" w:cs="Times New Roman"/>
        </w:rPr>
        <w:t>完善财政优先保障、金融重点倾斜、社会积极参与的多元投入格局，确保乡村振兴投入力度不断增强。全面落实种粮、耕地、农机购置等农业补贴政策，完善多层次农业保险服务体系，保护和调动农民务农种粮积极性。利用各类媒体平台及宣传网络对政策进行解读，开展面向基层干部、新型农业经营主体和广大农户的专题培训，打通政策传达“最后一公里”。常态化开展政策落实情况的督查检查与效果评估。</w:t>
      </w:r>
    </w:p>
    <w:p>
      <w:pPr>
        <w:pStyle w:val="25"/>
        <w:ind w:firstLine="602"/>
        <w:rPr>
          <w:rFonts w:ascii="Times New Roman" w:hAnsi="Times New Roman" w:cs="Times New Roman"/>
          <w:lang w:val="en-GB"/>
        </w:rPr>
      </w:pPr>
      <w:r>
        <w:rPr>
          <w:rFonts w:ascii="Times New Roman" w:hAnsi="Times New Roman" w:eastAsia="楷体" w:cs="Times New Roman"/>
          <w:b/>
          <w:bCs/>
        </w:rPr>
        <w:t>壮大新型农村集体经济。</w:t>
      </w:r>
      <w:r>
        <w:rPr>
          <w:rFonts w:ascii="Times New Roman" w:hAnsi="Times New Roman" w:cs="Times New Roman"/>
          <w:lang w:val="en-GB"/>
        </w:rPr>
        <w:t>通过资源发包、物业出租、居间服务、资产参股等多种途径，拓宽村级集体经济发展路径。盘活资源资产抓收，通过物业租赁、场地入股、拍卖变现等方式，实现资源变资产、资产变资金。通过土地流转增收，以村集体合作社为主体，探索统一流转统一发包模式，增值部分作为集体收入。投资产业项目创收，用好用活村集体积累资金、产业帮扶资金、易地扶贫搬迁后扶资金、移民后扶资金，按照积极稳妥、风险可控的原则，投入产业项目，形成稳定收入来源。</w:t>
      </w:r>
    </w:p>
    <w:p>
      <w:pPr>
        <w:pStyle w:val="25"/>
        <w:ind w:firstLine="602"/>
        <w:rPr>
          <w:rFonts w:ascii="Times New Roman" w:hAnsi="Times New Roman" w:cs="Times New Roman"/>
        </w:rPr>
      </w:pPr>
      <w:r>
        <w:rPr>
          <w:rFonts w:ascii="Times New Roman" w:hAnsi="Times New Roman" w:eastAsia="楷体" w:cs="Times New Roman"/>
          <w:b/>
          <w:bCs/>
        </w:rPr>
        <w:t>优化乡村创业环境。</w:t>
      </w:r>
      <w:r>
        <w:rPr>
          <w:rFonts w:ascii="Times New Roman" w:hAnsi="Times New Roman" w:cs="Times New Roman"/>
        </w:rPr>
        <w:t>简化乡村产业项目审批流程，落实对乡村新产业新业态实施“点状”供地等灵活用地政策。在县域范围内统筹安排不少于10%的建设用地指标，乡镇国土空间规划和村庄规划中预留不超过5%的规划建设用地机动指标，保障乡村振兴设施、公益事业和乡村产业融合发展用地。加大对乡村产业的信贷支持力度，优化金融服务，吸引社会资本投资乡村，营造鼓励创新、宽容失败的创业氛围，让乡村成为投资兴业的热土。</w:t>
      </w:r>
    </w:p>
    <w:p>
      <w:pPr>
        <w:pStyle w:val="25"/>
        <w:ind w:firstLine="602"/>
        <w:rPr>
          <w:rFonts w:ascii="Times New Roman" w:hAnsi="Times New Roman" w:cs="Times New Roman"/>
        </w:rPr>
      </w:pPr>
      <w:r>
        <w:rPr>
          <w:rFonts w:ascii="Times New Roman" w:hAnsi="Times New Roman" w:eastAsia="楷体" w:cs="Times New Roman"/>
          <w:b/>
          <w:bCs/>
        </w:rPr>
        <w:t>建立常态化防返贫监测帮扶机制。</w:t>
      </w:r>
      <w:r>
        <w:rPr>
          <w:rFonts w:ascii="Times New Roman" w:hAnsi="Times New Roman" w:cs="Times New Roman"/>
        </w:rPr>
        <w:t>坚持精准施策，完善兜底性保障政策，强化开发式帮扶措施，着力增强脱贫群众内生发展动力。对脱贫不稳定户、边缘易致贫户等重点群体实施分层分类帮扶，健全乡村振兴帮扶支持政策体系，确保不发生规模性返贫致贫。</w:t>
      </w:r>
    </w:p>
    <w:p>
      <w:pPr>
        <w:pStyle w:val="25"/>
        <w:ind w:firstLine="600"/>
        <w:rPr>
          <w:rFonts w:ascii="Times New Roman" w:hAnsi="Times New Roman" w:cs="Times New Roman"/>
        </w:rPr>
      </w:pPr>
    </w:p>
    <w:bookmarkEnd w:id="94"/>
    <w:p>
      <w:pPr>
        <w:pStyle w:val="24"/>
        <w:numPr>
          <w:ilvl w:val="0"/>
          <w:numId w:val="1"/>
        </w:numPr>
        <w:sectPr>
          <w:pgSz w:w="11906" w:h="16838"/>
          <w:pgMar w:top="1440" w:right="1800" w:bottom="1440" w:left="1800" w:header="851" w:footer="992" w:gutter="0"/>
          <w:pgNumType w:fmt="decimal"/>
          <w:cols w:space="425" w:num="1"/>
          <w:docGrid w:type="lines" w:linePitch="312" w:charSpace="0"/>
        </w:sectPr>
      </w:pPr>
    </w:p>
    <w:p>
      <w:pPr>
        <w:pStyle w:val="24"/>
        <w:numPr>
          <w:ilvl w:val="0"/>
          <w:numId w:val="1"/>
        </w:numPr>
      </w:pPr>
      <w:bookmarkStart w:id="99" w:name="_Toc216945825"/>
      <w:bookmarkStart w:id="100" w:name="OLE_LINK23"/>
      <w:bookmarkStart w:id="101" w:name="OLE_LINK2"/>
      <w:r>
        <w:t>坚持以人为本 建设更高品质现代化新城</w:t>
      </w:r>
      <w:bookmarkEnd w:id="99"/>
    </w:p>
    <w:bookmarkEnd w:id="100"/>
    <w:p>
      <w:pPr>
        <w:pStyle w:val="25"/>
        <w:ind w:firstLine="600"/>
        <w:rPr>
          <w:rFonts w:ascii="Times New Roman" w:hAnsi="Times New Roman" w:cs="Times New Roman"/>
          <w:lang w:val="en-GB"/>
        </w:rPr>
      </w:pPr>
      <w:r>
        <w:rPr>
          <w:rFonts w:ascii="Times New Roman" w:hAnsi="Times New Roman" w:cs="Times New Roman"/>
          <w:lang w:val="en-GB"/>
        </w:rPr>
        <w:t>推进以人为核心的新型城镇化，科学处理县城与农村发展关系，合理组织生产力和人口聚集扩散，重构城镇发展格局，促进城乡融合发展良性互动。</w:t>
      </w:r>
    </w:p>
    <w:p>
      <w:pPr>
        <w:pStyle w:val="29"/>
        <w:numPr>
          <w:ilvl w:val="0"/>
          <w:numId w:val="7"/>
        </w:numPr>
        <w:rPr>
          <w:rFonts w:ascii="Times New Roman" w:hAnsi="Times New Roman" w:cs="Times New Roman"/>
        </w:rPr>
      </w:pPr>
      <w:bookmarkStart w:id="102" w:name="_Toc216945826"/>
      <w:r>
        <w:rPr>
          <w:rFonts w:ascii="Times New Roman" w:hAnsi="Times New Roman" w:cs="Times New Roman"/>
        </w:rPr>
        <w:t>塑造宜居宜业“品质新城”</w:t>
      </w:r>
      <w:bookmarkEnd w:id="102"/>
    </w:p>
    <w:p>
      <w:pPr>
        <w:pStyle w:val="25"/>
        <w:ind w:firstLine="600"/>
        <w:rPr>
          <w:rFonts w:ascii="Times New Roman" w:hAnsi="Times New Roman" w:cs="Times New Roman"/>
        </w:rPr>
      </w:pPr>
      <w:r>
        <w:rPr>
          <w:rFonts w:ascii="Times New Roman" w:hAnsi="Times New Roman" w:cs="Times New Roman"/>
        </w:rPr>
        <w:t>坚持人民城市理念，把改善人居环境放在城市建设的突出位置，不断提升综合承载能力、服务供给能力、人口集聚能力。</w:t>
      </w:r>
    </w:p>
    <w:p>
      <w:pPr>
        <w:pStyle w:val="25"/>
        <w:ind w:firstLine="602"/>
        <w:rPr>
          <w:rFonts w:ascii="Times New Roman" w:hAnsi="Times New Roman" w:eastAsia="楷体" w:cs="Times New Roman"/>
          <w:b/>
          <w:bCs/>
          <w:lang w:val="en-GB"/>
        </w:rPr>
      </w:pPr>
      <w:r>
        <w:rPr>
          <w:rFonts w:ascii="Times New Roman" w:hAnsi="Times New Roman" w:eastAsia="楷体" w:cs="Times New Roman"/>
          <w:b/>
          <w:bCs/>
          <w:lang w:val="en-GB"/>
        </w:rPr>
        <w:t>提</w:t>
      </w:r>
      <w:r>
        <w:rPr>
          <w:rFonts w:hint="eastAsia" w:ascii="Times New Roman" w:hAnsi="Times New Roman" w:eastAsia="楷体" w:cs="Times New Roman"/>
          <w:b/>
          <w:bCs/>
          <w:lang w:val="en-GB"/>
        </w:rPr>
        <w:t>升</w:t>
      </w:r>
      <w:r>
        <w:rPr>
          <w:rFonts w:ascii="Times New Roman" w:hAnsi="Times New Roman" w:eastAsia="楷体" w:cs="Times New Roman"/>
          <w:b/>
          <w:bCs/>
          <w:lang w:val="en-GB"/>
        </w:rPr>
        <w:t>人居环境品质。</w:t>
      </w:r>
      <w:r>
        <w:rPr>
          <w:rFonts w:ascii="Times New Roman" w:hAnsi="Times New Roman" w:cs="Times New Roman"/>
        </w:rPr>
        <w:t>坚持人民城市人民建、人民城市为人民，统筹推进城市更新与功能完善，聚焦群众急难愁盼，将人居环境提质与城市综合功能强化深度融合，适度向市民腾退让渡部分城市空间。全面推进城镇老旧小区、城中村及城乡接合部改造整治，实施建筑本体加固修缮、水电气</w:t>
      </w:r>
      <w:r>
        <w:rPr>
          <w:rFonts w:hint="eastAsia" w:ascii="Times New Roman" w:hAnsi="Times New Roman" w:cs="Times New Roman"/>
        </w:rPr>
        <w:t>讯</w:t>
      </w:r>
      <w:r>
        <w:rPr>
          <w:rFonts w:ascii="Times New Roman" w:hAnsi="Times New Roman" w:cs="Times New Roman"/>
        </w:rPr>
        <w:t>等老旧管网更新、雨污分流改造、适老适幼设施配套、消防安防升级及环境综合整治，稳妥推进危旧房排查治理与既有住宅电梯加装。优化城市路网结构，打通断头路，拓宽瓶颈路，畅通城市微循环；着力完善排水防涝体系，推进管网、泵站及调蓄设施建设，有效治理易涝点；实施城区供水管网老化更新与分区计量管理，保障供水安全、降低漏损；加快智慧停车场建设，新增立体停车设施，破解停车难题。统筹推进老晃城、柏树林等重点片区基础设施一体化建设，强化乡镇污水管网升级与处理设施配套，全面提升县域综合承载能力与运行效率。</w:t>
      </w:r>
    </w:p>
    <w:p>
      <w:pPr>
        <w:pStyle w:val="25"/>
        <w:ind w:firstLine="602"/>
        <w:rPr>
          <w:rFonts w:ascii="Times New Roman" w:hAnsi="Times New Roman" w:eastAsia="楷体" w:cs="Times New Roman"/>
          <w:b/>
          <w:bCs/>
          <w:lang w:val="en-GB"/>
        </w:rPr>
      </w:pPr>
      <w:r>
        <w:rPr>
          <w:rFonts w:ascii="Times New Roman" w:hAnsi="Times New Roman" w:eastAsia="楷体" w:cs="Times New Roman"/>
          <w:b/>
          <w:bCs/>
          <w:lang w:val="en-GB"/>
        </w:rPr>
        <w:t>塑造城市特色风貌。</w:t>
      </w:r>
      <w:r>
        <w:rPr>
          <w:rFonts w:ascii="Times New Roman" w:hAnsi="Times New Roman" w:cs="Times New Roman"/>
        </w:rPr>
        <w:t>以申报国家级历史文化名城为总牵引，加强规划控制，对所有新建小区和建筑物、老房改造和翻修，统一风貌管控，更多体现中国特色、湖湘文化、侗乡元素。加强历史街区更新保护，按照“修旧如旧”原则，实施历史街区有机更新，留住记忆和乡愁。抓好龙溪古镇保护性开发，再现当年舟楫云集、商贾云集的历史场景。做好晃州风雨桥、鼓楼广场等侗族文化标志性建筑维护利用工作，定期开展文化活动，活化传承侗乡文化。利用好城市建设中的“金边银角”，建设一批富含侗族文化的小品小景，展现处处有文化、处处见侗乡的城市风景。</w:t>
      </w:r>
    </w:p>
    <w:p>
      <w:pPr>
        <w:pStyle w:val="25"/>
        <w:ind w:firstLine="602"/>
        <w:rPr>
          <w:rFonts w:ascii="Times New Roman" w:hAnsi="Times New Roman" w:cs="Times New Roman"/>
        </w:rPr>
      </w:pPr>
      <w:r>
        <w:rPr>
          <w:rFonts w:ascii="Times New Roman" w:hAnsi="Times New Roman" w:eastAsia="楷体" w:cs="Times New Roman"/>
          <w:b/>
          <w:bCs/>
          <w:lang w:val="en-GB"/>
        </w:rPr>
        <w:t>加强城市精细管理。</w:t>
      </w:r>
      <w:r>
        <w:rPr>
          <w:rFonts w:ascii="Times New Roman" w:hAnsi="Times New Roman" w:cs="Times New Roman"/>
        </w:rPr>
        <w:t>以“一网统管”为核心，整合基层治理、公共安全、应急管理、市政服务、交通运行、生态环境等领域数据与业务系统，构建智慧城市运行平台，提升全域感知、智能调度与协同处置能力，增强城市防灾减灾韧性。完善“大城管”工作机制，深化网格化管理，推行“街巷长”“片区管家”等共治模式，提升社区物业、农贸市场等标准化管理水平。扎实推进城乡环境卫生综合整治，深入开展“扫干净、改整齐、清通透”行动，系统推进生活垃圾分类与资源化利用，加快垃圾处理设施建设与公厕提标改造，规划建设再生资源交易市场并实行划行归市，整体提升城乡环境品质。结合城市更新与边角地利用，规划建设一批“口袋公园”“微广场”等公共开放空间，持续优化停车设施布局与管理，缓解重点区域停车矛盾，完善公共交通服务网络。有序推动城镇低效用地与闲置资产盘活再利用，促进空间提质与功能融合。</w:t>
      </w:r>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25"/>
              <w:ind w:firstLine="0" w:firstLineChars="0"/>
              <w:jc w:val="center"/>
              <w:rPr>
                <w:rFonts w:ascii="Times New Roman" w:hAnsi="Times New Roman" w:cs="Times New Roman"/>
              </w:rPr>
            </w:pPr>
            <w:r>
              <w:rPr>
                <w:rFonts w:ascii="Times New Roman" w:hAnsi="Times New Roman" w:cs="Times New Roman"/>
                <w:b/>
                <w:bCs/>
              </w:rPr>
              <w:t>专栏八：城市分区更新工程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46"/>
              <w:ind w:firstLine="560"/>
              <w:rPr>
                <w:rFonts w:ascii="Times New Roman" w:hAnsi="Times New Roman" w:cs="Times New Roman"/>
              </w:rPr>
            </w:pPr>
            <w:r>
              <w:rPr>
                <w:rFonts w:ascii="Times New Roman" w:hAnsi="Times New Roman" w:cs="Times New Roman"/>
              </w:rPr>
              <w:t>将城区划分为整治型、调整型、重构型三类更新区域，具体涵盖城市活力市集片区、龙溪古镇—㵲水一河两岸片区、三中片区、大湾罗片区、一中片区、金橘佳苑片区、老晃城片区、柏树林片区、鱼市片区、酒店塘片区、城西滨水片区等11个更新片区。</w:t>
            </w:r>
          </w:p>
          <w:p>
            <w:pPr>
              <w:pStyle w:val="46"/>
              <w:ind w:firstLine="562"/>
              <w:rPr>
                <w:rFonts w:ascii="Times New Roman" w:hAnsi="Times New Roman" w:cs="Times New Roman"/>
              </w:rPr>
            </w:pPr>
            <w:r>
              <w:rPr>
                <w:rFonts w:ascii="Times New Roman" w:hAnsi="Times New Roman" w:cs="Times New Roman"/>
                <w:b/>
                <w:bCs w:val="0"/>
              </w:rPr>
              <w:t>——整治型。</w:t>
            </w:r>
            <w:r>
              <w:rPr>
                <w:rFonts w:ascii="Times New Roman" w:hAnsi="Times New Roman" w:cs="Times New Roman"/>
              </w:rPr>
              <w:t>主要包括城市活力市集片区、龙溪古镇—㵲水一河两岸片区、三中片区、大湾罗片区、一中片区、金橘佳苑片区、老晃城片区、鱼市片区、酒店塘片区。其中，城市活力市集片区、龙溪古镇—㵲水一河两岸片区、酒店塘片区作为新晃县城市整治更新的主战场，重点推进内部循环畅通与对外连接优化。</w:t>
            </w:r>
          </w:p>
          <w:p>
            <w:pPr>
              <w:pStyle w:val="46"/>
              <w:ind w:firstLine="560"/>
              <w:rPr>
                <w:rFonts w:ascii="Times New Roman" w:hAnsi="Times New Roman" w:cs="Times New Roman"/>
              </w:rPr>
            </w:pPr>
            <w:r>
              <w:rPr>
                <w:rFonts w:ascii="Times New Roman" w:hAnsi="Times New Roman" w:cs="Times New Roman"/>
              </w:rPr>
              <w:t>同步加强城市文化保护与传承，推进老城古迹保护性开发，推动土地利用方式由外延扩张向内涵提升转变。强化旧城居住、商业与旅游服务功能，延续传统商业中心地位，重点实施西街区域步行化改造，恢复龙溪古镇浮桥，完善业态布局，重现古镇历史风貌与商业活力。全面整治旧城及鱼市镇区公共环境，加强绿化种植与人行道铺装更新，拆除违章建筑，整饰建筑立面，切实改善旧城整体面貌。严格按规划推进成街坊、成片区改造，运用土地级差收益与容积率优化等政策工具，引导市场主体投资公益性设施、基础设施及道路绿化建设。</w:t>
            </w:r>
          </w:p>
          <w:p>
            <w:pPr>
              <w:pStyle w:val="46"/>
              <w:ind w:firstLine="562"/>
              <w:rPr>
                <w:rFonts w:ascii="Times New Roman" w:hAnsi="Times New Roman" w:cs="Times New Roman"/>
              </w:rPr>
            </w:pPr>
            <w:r>
              <w:rPr>
                <w:rFonts w:ascii="Times New Roman" w:hAnsi="Times New Roman" w:cs="Times New Roman"/>
                <w:b/>
                <w:bCs w:val="0"/>
              </w:rPr>
              <w:t>——调整型。</w:t>
            </w:r>
            <w:r>
              <w:rPr>
                <w:rFonts w:ascii="Times New Roman" w:hAnsi="Times New Roman" w:cs="Times New Roman"/>
              </w:rPr>
              <w:t>聚焦柏树林片区新晃火车站区域及㵲水滨水空间，推动其功能布局优化与业态升级。结合大新公铁联运物流园、柏树林工业园建设，系统营造与产业发展相匹配的街道景观与公共功能，提升区域空间品质与利用效率。</w:t>
            </w:r>
          </w:p>
          <w:p>
            <w:pPr>
              <w:pStyle w:val="46"/>
              <w:ind w:firstLine="562"/>
              <w:rPr>
                <w:rFonts w:ascii="Times New Roman" w:hAnsi="Times New Roman" w:cs="Times New Roman"/>
              </w:rPr>
            </w:pPr>
            <w:r>
              <w:rPr>
                <w:rFonts w:ascii="Times New Roman" w:hAnsi="Times New Roman" w:cs="Times New Roman"/>
                <w:b/>
                <w:bCs w:val="0"/>
              </w:rPr>
              <w:t>——重构型。</w:t>
            </w:r>
            <w:r>
              <w:rPr>
                <w:rFonts w:ascii="Times New Roman" w:hAnsi="Times New Roman" w:cs="Times New Roman"/>
              </w:rPr>
              <w:t>重点推进城西滨水片区更新建设，有序疏解旧城人口，全面提升新区人居品质。建设滨水公园与亲水开放空间，优先布局公共服务设施，增加公园绿地面积，构建连续贯通的滨水休闲娱乐带。系统性增补街头绿地与宅间绿地，优化人居环境；同步提升道路通达性，完善停车设施与交通组织，构建层次清晰、功能完善的城市交通系统。</w:t>
            </w:r>
          </w:p>
        </w:tc>
      </w:tr>
    </w:tbl>
    <w:p>
      <w:pPr>
        <w:pStyle w:val="29"/>
        <w:numPr>
          <w:ilvl w:val="0"/>
          <w:numId w:val="7"/>
        </w:numPr>
        <w:rPr>
          <w:rFonts w:ascii="Times New Roman" w:hAnsi="Times New Roman" w:cs="Times New Roman"/>
        </w:rPr>
      </w:pPr>
      <w:bookmarkStart w:id="103" w:name="_Toc216945827"/>
      <w:bookmarkStart w:id="104" w:name="OLE_LINK25"/>
      <w:r>
        <w:rPr>
          <w:rFonts w:ascii="Times New Roman" w:hAnsi="Times New Roman" w:cs="Times New Roman"/>
        </w:rPr>
        <w:t>建设业态丰富“活力新城”</w:t>
      </w:r>
      <w:bookmarkEnd w:id="103"/>
    </w:p>
    <w:p>
      <w:pPr>
        <w:pStyle w:val="25"/>
        <w:ind w:firstLine="600"/>
        <w:rPr>
          <w:rFonts w:ascii="Times New Roman" w:hAnsi="Times New Roman" w:cs="Times New Roman"/>
        </w:rPr>
      </w:pPr>
      <w:r>
        <w:rPr>
          <w:rFonts w:ascii="Times New Roman" w:hAnsi="Times New Roman" w:cs="Times New Roman"/>
        </w:rPr>
        <w:t>以产业集聚夯实根基，以繁荣消费彰显魅力，以青年友好涵养未来，以业态创新引领潮流，建设充满机遇、富有张力、更具吸引力的活力之城。</w:t>
      </w:r>
    </w:p>
    <w:p>
      <w:pPr>
        <w:pStyle w:val="25"/>
        <w:ind w:firstLine="602"/>
        <w:rPr>
          <w:rFonts w:ascii="Times New Roman" w:hAnsi="Times New Roman" w:cs="Times New Roman"/>
        </w:rPr>
      </w:pPr>
      <w:r>
        <w:rPr>
          <w:rFonts w:ascii="Times New Roman" w:hAnsi="Times New Roman" w:eastAsia="楷体" w:cs="Times New Roman"/>
          <w:b/>
          <w:bCs/>
          <w:lang w:val="en-GB"/>
        </w:rPr>
        <w:t>建设产业聚集城市。</w:t>
      </w:r>
      <w:r>
        <w:rPr>
          <w:rFonts w:ascii="Times New Roman" w:hAnsi="Times New Roman" w:cs="Times New Roman"/>
        </w:rPr>
        <w:t>坚持“以产兴城、以城促产”，推动产业空间与城市生活功能有机交织、互动共生。围绕前锋、柏树林工业园及大新公铁联运物流园等产业板块，高标准规划建设产业邻里中心，集成研发孵化、共享办公、人才公寓、便捷商业、文体休闲等综合服务，打造“五分钟产业生活圈”，实现“生产在园区、生活在社区、休闲在街区”。强化园区与城区在交通、市政、信息网络等方面的无缝衔接，促进产业工人、技术人才便捷通勤、安居乐业。以产业发展带动人口集聚，以人口集聚推动城市发展，形成“产业引人、城市留人、人兴城旺”的良性循环。</w:t>
      </w:r>
    </w:p>
    <w:p>
      <w:pPr>
        <w:pStyle w:val="25"/>
        <w:ind w:firstLine="602"/>
        <w:rPr>
          <w:rFonts w:ascii="Times New Roman" w:hAnsi="Times New Roman" w:cs="Times New Roman"/>
        </w:rPr>
      </w:pPr>
      <w:r>
        <w:rPr>
          <w:rFonts w:ascii="Times New Roman" w:hAnsi="Times New Roman" w:eastAsia="楷体" w:cs="Times New Roman"/>
          <w:b/>
          <w:bCs/>
          <w:lang w:val="en-GB"/>
        </w:rPr>
        <w:t>建设消费兴旺城市。</w:t>
      </w:r>
      <w:r>
        <w:rPr>
          <w:rFonts w:ascii="Times New Roman" w:hAnsi="Times New Roman" w:cs="Times New Roman"/>
        </w:rPr>
        <w:t>围绕“品侗乡文化，尝特色美食，寻龙溪古韵，观㵲水风光”，建设多层次、特色化的消费兴旺城市。推进龙溪古镇历史街区的保护性开发与业态提升，打造融合文化体验与休闲消费的城市客厅。高品质建设㵲水滨水休闲带，塑造日夜联动的滨水消费廊道。构建“城市核心商圈—社区商业中心—乡村特色节点”三级商业网络体系，增强商业设施可达性与服务覆盖率。以精致的城市空间、完善的商业载体与优质的服务环境，持续吸引并留住消费人流，夯实消费型城市的发展基础。</w:t>
      </w:r>
    </w:p>
    <w:p>
      <w:pPr>
        <w:pStyle w:val="25"/>
        <w:ind w:firstLine="602"/>
        <w:rPr>
          <w:rFonts w:ascii="Times New Roman" w:hAnsi="Times New Roman" w:cs="Times New Roman"/>
        </w:rPr>
      </w:pPr>
      <w:r>
        <w:rPr>
          <w:rFonts w:ascii="Times New Roman" w:hAnsi="Times New Roman" w:eastAsia="楷体" w:cs="Times New Roman"/>
          <w:b/>
          <w:bCs/>
          <w:lang w:val="en-GB"/>
        </w:rPr>
        <w:t>建设青年友好城市。</w:t>
      </w:r>
      <w:r>
        <w:rPr>
          <w:rFonts w:ascii="Times New Roman" w:hAnsi="Times New Roman" w:cs="Times New Roman"/>
        </w:rPr>
        <w:t>实施更加积极、开放、包容的青年发展政策。优化青年创业就业环境，提供从孵化支持到安居保障的全链条服务。加大人才公寓供给力度，配套完善公共服务，切实降低青年生活成本与社会性焦虑。规划建设青年活力街区、城市书房和共享空间，常态化举办青年艺术节、创新创业大赛、联谊交友等主题活动，丰富青年精神文化生活。以“美好青春，新晃相见”为城市邀约，把新晃建设成充满烟火气、洋溢文艺范、彰显年轻态的活力之城。</w:t>
      </w:r>
    </w:p>
    <w:p>
      <w:pPr>
        <w:pStyle w:val="25"/>
        <w:ind w:firstLine="602"/>
        <w:rPr>
          <w:rFonts w:ascii="Times New Roman" w:hAnsi="Times New Roman" w:cs="Times New Roman"/>
        </w:rPr>
      </w:pPr>
      <w:r>
        <w:rPr>
          <w:rFonts w:ascii="Times New Roman" w:hAnsi="Times New Roman" w:eastAsia="楷体" w:cs="Times New Roman"/>
          <w:b/>
          <w:bCs/>
          <w:lang w:val="en-GB"/>
        </w:rPr>
        <w:t>建设新业态培育先行城市。</w:t>
      </w:r>
      <w:r>
        <w:rPr>
          <w:rFonts w:ascii="Times New Roman" w:hAnsi="Times New Roman" w:cs="Times New Roman"/>
        </w:rPr>
        <w:t>把握技术变革与消费升级趋势，率先探索城市新业态的落地应用。做强“低空+”城市新服务，以通用机场为核心，规划低空资源在城市范围内的创新应用。深化“数字+”城市新体验，整合城市运行数据，推动数字技术全面融入城市运行与生活场景。培育“融合+”产业新范式，鼓励发展乡村微度假、田园综合体、非遗研学、康养旅居等复合型业态，支持利用旧厂房、老街巷、闲置校舍打造文创园区、众创空间、特色主题街区，让新晃县城成为新经济模式的“试验田”和“展示窗”。</w:t>
      </w:r>
    </w:p>
    <w:bookmarkEnd w:id="104"/>
    <w:p>
      <w:pPr>
        <w:pStyle w:val="25"/>
        <w:ind w:firstLine="720"/>
        <w:rPr>
          <w:rFonts w:ascii="Times New Roman" w:hAnsi="Times New Roman" w:eastAsia="黑体" w:cs="Times New Roman"/>
          <w:vanish/>
          <w:kern w:val="44"/>
          <w:sz w:val="36"/>
          <w:szCs w:val="21"/>
          <w:lang w:val="en-GB"/>
        </w:rPr>
      </w:pPr>
    </w:p>
    <w:p>
      <w:pPr>
        <w:pStyle w:val="42"/>
        <w:keepNext/>
        <w:keepLines/>
        <w:numPr>
          <w:ilvl w:val="0"/>
          <w:numId w:val="8"/>
        </w:numPr>
        <w:spacing w:line="720" w:lineRule="exact"/>
        <w:ind w:firstLineChars="0"/>
        <w:jc w:val="center"/>
        <w:outlineLvl w:val="0"/>
        <w:rPr>
          <w:rFonts w:ascii="Times New Roman" w:hAnsi="Times New Roman" w:eastAsia="黑体" w:cs="Times New Roman"/>
          <w:vanish/>
          <w:kern w:val="44"/>
          <w:sz w:val="36"/>
          <w:szCs w:val="21"/>
          <w:lang w:val="en-GB"/>
        </w:rPr>
      </w:pPr>
      <w:bookmarkStart w:id="105" w:name="_Toc214914066"/>
      <w:bookmarkEnd w:id="105"/>
      <w:bookmarkStart w:id="106" w:name="_Toc214900873"/>
      <w:bookmarkEnd w:id="106"/>
      <w:bookmarkStart w:id="107" w:name="_Toc216704688"/>
      <w:bookmarkEnd w:id="107"/>
      <w:bookmarkStart w:id="108" w:name="_Toc214913952"/>
      <w:bookmarkEnd w:id="108"/>
      <w:bookmarkStart w:id="109" w:name="_Toc216172487"/>
      <w:bookmarkEnd w:id="109"/>
      <w:bookmarkStart w:id="110" w:name="_Toc216727449"/>
      <w:bookmarkEnd w:id="110"/>
      <w:bookmarkStart w:id="111" w:name="_Toc214901268"/>
      <w:bookmarkEnd w:id="111"/>
      <w:bookmarkStart w:id="112" w:name="_Toc216945828"/>
      <w:bookmarkEnd w:id="112"/>
      <w:bookmarkStart w:id="113" w:name="_Toc214402682"/>
      <w:bookmarkEnd w:id="113"/>
      <w:bookmarkStart w:id="114" w:name="_Toc216815874"/>
      <w:bookmarkEnd w:id="114"/>
      <w:bookmarkStart w:id="115" w:name="_Toc214737468"/>
      <w:bookmarkEnd w:id="115"/>
    </w:p>
    <w:p>
      <w:pPr>
        <w:pStyle w:val="42"/>
        <w:keepNext/>
        <w:keepLines/>
        <w:numPr>
          <w:ilvl w:val="0"/>
          <w:numId w:val="8"/>
        </w:numPr>
        <w:spacing w:line="720" w:lineRule="exact"/>
        <w:ind w:firstLineChars="0"/>
        <w:jc w:val="center"/>
        <w:outlineLvl w:val="0"/>
        <w:rPr>
          <w:rFonts w:ascii="Times New Roman" w:hAnsi="Times New Roman" w:eastAsia="黑体" w:cs="Times New Roman"/>
          <w:vanish/>
          <w:kern w:val="44"/>
          <w:sz w:val="36"/>
          <w:szCs w:val="21"/>
          <w:lang w:val="en-GB"/>
        </w:rPr>
      </w:pPr>
      <w:bookmarkStart w:id="116" w:name="_Toc216727450"/>
      <w:bookmarkEnd w:id="116"/>
      <w:bookmarkStart w:id="117" w:name="_Toc216172488"/>
      <w:bookmarkEnd w:id="117"/>
      <w:bookmarkStart w:id="118" w:name="_Toc214914067"/>
      <w:bookmarkEnd w:id="118"/>
      <w:bookmarkStart w:id="119" w:name="_Toc214900874"/>
      <w:bookmarkEnd w:id="119"/>
      <w:bookmarkStart w:id="120" w:name="_Toc214402683"/>
      <w:bookmarkEnd w:id="120"/>
      <w:bookmarkStart w:id="121" w:name="_Toc216945829"/>
      <w:bookmarkEnd w:id="121"/>
      <w:bookmarkStart w:id="122" w:name="_Toc214913953"/>
      <w:bookmarkEnd w:id="122"/>
      <w:bookmarkStart w:id="123" w:name="_Toc214737469"/>
      <w:bookmarkEnd w:id="123"/>
      <w:bookmarkStart w:id="124" w:name="_Toc216815875"/>
      <w:bookmarkEnd w:id="124"/>
      <w:bookmarkStart w:id="125" w:name="_Toc216704689"/>
      <w:bookmarkEnd w:id="125"/>
      <w:bookmarkStart w:id="126" w:name="_Toc214901269"/>
      <w:bookmarkEnd w:id="126"/>
    </w:p>
    <w:p>
      <w:pPr>
        <w:pStyle w:val="42"/>
        <w:keepNext/>
        <w:keepLines/>
        <w:numPr>
          <w:ilvl w:val="0"/>
          <w:numId w:val="8"/>
        </w:numPr>
        <w:spacing w:line="720" w:lineRule="exact"/>
        <w:ind w:firstLineChars="0"/>
        <w:jc w:val="center"/>
        <w:outlineLvl w:val="0"/>
        <w:rPr>
          <w:rFonts w:ascii="Times New Roman" w:hAnsi="Times New Roman" w:eastAsia="黑体" w:cs="Times New Roman"/>
          <w:vanish/>
          <w:kern w:val="44"/>
          <w:sz w:val="36"/>
          <w:szCs w:val="21"/>
          <w:lang w:val="en-GB"/>
        </w:rPr>
      </w:pPr>
      <w:bookmarkStart w:id="127" w:name="_Toc216172489"/>
      <w:bookmarkEnd w:id="127"/>
      <w:bookmarkStart w:id="128" w:name="_Toc214737470"/>
      <w:bookmarkEnd w:id="128"/>
      <w:bookmarkStart w:id="129" w:name="_Toc214900875"/>
      <w:bookmarkEnd w:id="129"/>
      <w:bookmarkStart w:id="130" w:name="_Toc214914068"/>
      <w:bookmarkEnd w:id="130"/>
      <w:bookmarkStart w:id="131" w:name="_Toc214913954"/>
      <w:bookmarkEnd w:id="131"/>
      <w:bookmarkStart w:id="132" w:name="_Toc214901270"/>
      <w:bookmarkEnd w:id="132"/>
      <w:bookmarkStart w:id="133" w:name="_Toc216815876"/>
      <w:bookmarkEnd w:id="133"/>
      <w:bookmarkStart w:id="134" w:name="_Toc216704690"/>
      <w:bookmarkEnd w:id="134"/>
      <w:bookmarkStart w:id="135" w:name="_Toc214402684"/>
      <w:bookmarkEnd w:id="135"/>
      <w:bookmarkStart w:id="136" w:name="_Toc216727451"/>
      <w:bookmarkEnd w:id="136"/>
      <w:bookmarkStart w:id="137" w:name="_Toc216945830"/>
      <w:bookmarkEnd w:id="137"/>
    </w:p>
    <w:p>
      <w:pPr>
        <w:pStyle w:val="42"/>
        <w:keepNext/>
        <w:keepLines/>
        <w:numPr>
          <w:ilvl w:val="0"/>
          <w:numId w:val="8"/>
        </w:numPr>
        <w:spacing w:line="720" w:lineRule="exact"/>
        <w:ind w:firstLineChars="0"/>
        <w:jc w:val="center"/>
        <w:outlineLvl w:val="0"/>
        <w:rPr>
          <w:rFonts w:ascii="Times New Roman" w:hAnsi="Times New Roman" w:eastAsia="黑体" w:cs="Times New Roman"/>
          <w:vanish/>
          <w:kern w:val="44"/>
          <w:sz w:val="36"/>
          <w:szCs w:val="21"/>
          <w:lang w:val="en-GB"/>
        </w:rPr>
      </w:pPr>
      <w:bookmarkStart w:id="138" w:name="_Toc214900876"/>
      <w:bookmarkEnd w:id="138"/>
      <w:bookmarkStart w:id="139" w:name="_Toc214737471"/>
      <w:bookmarkEnd w:id="139"/>
      <w:bookmarkStart w:id="140" w:name="_Toc216172490"/>
      <w:bookmarkEnd w:id="140"/>
      <w:bookmarkStart w:id="141" w:name="_Toc214901271"/>
      <w:bookmarkEnd w:id="141"/>
      <w:bookmarkStart w:id="142" w:name="_Toc216945831"/>
      <w:bookmarkEnd w:id="142"/>
      <w:bookmarkStart w:id="143" w:name="_Toc216727452"/>
      <w:bookmarkEnd w:id="143"/>
      <w:bookmarkStart w:id="144" w:name="_Toc214914069"/>
      <w:bookmarkEnd w:id="144"/>
      <w:bookmarkStart w:id="145" w:name="_Toc216815877"/>
      <w:bookmarkEnd w:id="145"/>
      <w:bookmarkStart w:id="146" w:name="_Toc214402685"/>
      <w:bookmarkEnd w:id="146"/>
      <w:bookmarkStart w:id="147" w:name="_Toc216704691"/>
      <w:bookmarkEnd w:id="147"/>
      <w:bookmarkStart w:id="148" w:name="_Toc214913955"/>
      <w:bookmarkEnd w:id="148"/>
    </w:p>
    <w:p>
      <w:pPr>
        <w:pStyle w:val="29"/>
        <w:numPr>
          <w:ilvl w:val="0"/>
          <w:numId w:val="7"/>
        </w:numPr>
        <w:rPr>
          <w:rFonts w:ascii="Times New Roman" w:hAnsi="Times New Roman" w:cs="Times New Roman"/>
        </w:rPr>
      </w:pPr>
      <w:bookmarkStart w:id="149" w:name="_Toc216945832"/>
      <w:bookmarkStart w:id="150" w:name="OLE_LINK26"/>
      <w:r>
        <w:rPr>
          <w:rFonts w:ascii="Times New Roman" w:hAnsi="Times New Roman" w:cs="Times New Roman"/>
        </w:rPr>
        <w:t>培育城乡共生“融合新城”</w:t>
      </w:r>
      <w:bookmarkEnd w:id="149"/>
    </w:p>
    <w:p>
      <w:pPr>
        <w:pStyle w:val="25"/>
        <w:ind w:firstLine="600"/>
        <w:rPr>
          <w:rFonts w:ascii="Times New Roman" w:hAnsi="Times New Roman" w:cs="Times New Roman"/>
        </w:rPr>
      </w:pPr>
      <w:r>
        <w:rPr>
          <w:rFonts w:ascii="Times New Roman" w:hAnsi="Times New Roman" w:cs="Times New Roman"/>
        </w:rPr>
        <w:t>促进城乡要素自由流动、设施互联互通和公共服务共建共享，推动形成以城带乡、城乡共荣的一体化发展新局面，实现城市现代化与乡村振兴协同并进。</w:t>
      </w:r>
    </w:p>
    <w:bookmarkEnd w:id="150"/>
    <w:p>
      <w:pPr>
        <w:pStyle w:val="25"/>
        <w:ind w:firstLine="602"/>
        <w:rPr>
          <w:rFonts w:ascii="Times New Roman" w:hAnsi="Times New Roman" w:cs="Times New Roman"/>
        </w:rPr>
      </w:pPr>
      <w:r>
        <w:rPr>
          <w:rFonts w:ascii="Times New Roman" w:hAnsi="Times New Roman" w:eastAsia="楷体" w:cs="Times New Roman"/>
          <w:b/>
          <w:bCs/>
          <w:lang w:val="en-GB"/>
        </w:rPr>
        <w:t>优化城乡空间格局。</w:t>
      </w:r>
      <w:r>
        <w:rPr>
          <w:rFonts w:ascii="Times New Roman" w:hAnsi="Times New Roman" w:cs="Times New Roman"/>
        </w:rPr>
        <w:t>构建“一核两带四区”的城乡发展总体格局，</w:t>
      </w:r>
      <w:r>
        <w:rPr>
          <w:rFonts w:ascii="Times New Roman" w:hAnsi="Times New Roman" w:cs="Times New Roman"/>
          <w:b/>
          <w:bCs/>
        </w:rPr>
        <w:t>一核：</w:t>
      </w:r>
      <w:r>
        <w:rPr>
          <w:rFonts w:ascii="Times New Roman" w:hAnsi="Times New Roman" w:cs="Times New Roman"/>
        </w:rPr>
        <w:t>县城中心城区，新型城镇化的主阵地。</w:t>
      </w:r>
      <w:r>
        <w:rPr>
          <w:rFonts w:ascii="Times New Roman" w:hAnsi="Times New Roman" w:cs="Times New Roman"/>
          <w:b/>
          <w:bCs/>
        </w:rPr>
        <w:t>两带：</w:t>
      </w:r>
      <w:r>
        <w:rPr>
          <w:rFonts w:ascii="Times New Roman" w:hAnsi="Times New Roman" w:cs="Times New Roman"/>
        </w:rPr>
        <w:t>沿沪昆经济走廊建设流量经济发展带；沿平溪建设现代农业、文旅融合产业发展带。</w:t>
      </w:r>
      <w:r>
        <w:rPr>
          <w:rFonts w:ascii="Times New Roman" w:hAnsi="Times New Roman" w:cs="Times New Roman"/>
          <w:b/>
          <w:bCs/>
        </w:rPr>
        <w:t>四区：港产城旅融合区</w:t>
      </w:r>
      <w:r>
        <w:rPr>
          <w:rFonts w:ascii="Times New Roman" w:hAnsi="Times New Roman" w:cs="Times New Roman"/>
        </w:rPr>
        <w:t>，发展精细化工、跨境物流、商贸服务、城市综合体等业态，打造集国际物流、先进制造、现代服务、文旅康养于一体的县域发展核心引擎和“港产城</w:t>
      </w:r>
      <w:r>
        <w:rPr>
          <w:rFonts w:hint="eastAsia" w:ascii="Times New Roman" w:hAnsi="Times New Roman" w:cs="Times New Roman"/>
        </w:rPr>
        <w:t>旅</w:t>
      </w:r>
      <w:r>
        <w:rPr>
          <w:rFonts w:ascii="Times New Roman" w:hAnsi="Times New Roman" w:cs="Times New Roman"/>
        </w:rPr>
        <w:t>”融合发展示范区，包括晃州镇、鱼市镇、波洲镇。</w:t>
      </w:r>
      <w:r>
        <w:rPr>
          <w:rFonts w:ascii="Times New Roman" w:hAnsi="Times New Roman" w:cs="Times New Roman"/>
          <w:b/>
          <w:bCs/>
        </w:rPr>
        <w:t>边贸经济拓展区，</w:t>
      </w:r>
      <w:r>
        <w:rPr>
          <w:rFonts w:ascii="Times New Roman" w:hAnsi="Times New Roman" w:cs="Times New Roman"/>
        </w:rPr>
        <w:t>建设边贸集市、跨境电商服务平台、物流中转节点，打造湘黔边界经贸往来活跃、要素流动便捷、服务功能完善的边贸开放门户和区域协作前沿阵地，包含凉伞镇、林冲镇、贡溪镇。</w:t>
      </w:r>
      <w:r>
        <w:rPr>
          <w:rFonts w:ascii="Times New Roman" w:hAnsi="Times New Roman" w:cs="Times New Roman"/>
          <w:b/>
          <w:bCs/>
        </w:rPr>
        <w:t>特色农业发展区，</w:t>
      </w:r>
      <w:r>
        <w:rPr>
          <w:rFonts w:ascii="Times New Roman" w:hAnsi="Times New Roman" w:cs="Times New Roman"/>
        </w:rPr>
        <w:t>发挥生态与农业资源优势，聚焦中药材、黄牛、侗藏红米、优质烟叶、精品林果等特色产业，打造绿色、高效、特色的现代山地农业集聚区，包括禾滩镇、扶罗镇、步头降苗族乡、米贝苗族乡。</w:t>
      </w:r>
      <w:r>
        <w:rPr>
          <w:rFonts w:ascii="Times New Roman" w:hAnsi="Times New Roman" w:cs="Times New Roman"/>
          <w:b/>
          <w:bCs/>
        </w:rPr>
        <w:t>绿色矿产集聚区，</w:t>
      </w:r>
      <w:r>
        <w:rPr>
          <w:rFonts w:ascii="Times New Roman" w:hAnsi="Times New Roman" w:cs="Times New Roman"/>
        </w:rPr>
        <w:t>依托重晶石等矿产资源，以绿色化、集约化、高值化为导向，规范矿产资源开发秩序，推进绿色矿山建设和生态修复，重点发展矿产精深加工产业，包括扶罗镇、中寨镇、贡溪镇。</w:t>
      </w:r>
    </w:p>
    <w:p>
      <w:pPr>
        <w:pStyle w:val="25"/>
        <w:ind w:firstLine="602"/>
        <w:rPr>
          <w:rFonts w:ascii="Times New Roman" w:hAnsi="Times New Roman" w:cs="Times New Roman"/>
        </w:rPr>
      </w:pPr>
      <w:r>
        <w:rPr>
          <w:rFonts w:ascii="Times New Roman" w:hAnsi="Times New Roman" w:eastAsia="楷体" w:cs="Times New Roman"/>
          <w:b/>
          <w:bCs/>
          <w:lang w:val="en-GB"/>
        </w:rPr>
        <w:t>优化城市发展布局。</w:t>
      </w:r>
      <w:r>
        <w:rPr>
          <w:rFonts w:ascii="Times New Roman" w:hAnsi="Times New Roman" w:cs="Times New Roman"/>
        </w:rPr>
        <w:t>稳步实施“东融西优、南联北拓、内畅外通”城镇化发展战略，以“港产城旅</w:t>
      </w:r>
      <w:r>
        <w:rPr>
          <w:rFonts w:hint="eastAsia" w:ascii="Times New Roman" w:hAnsi="Times New Roman" w:cs="Times New Roman"/>
        </w:rPr>
        <w:t>”</w:t>
      </w:r>
      <w:r>
        <w:rPr>
          <w:rFonts w:ascii="Times New Roman" w:hAnsi="Times New Roman" w:cs="Times New Roman"/>
        </w:rPr>
        <w:t>融合为核心动力，突出中心城区的优先发展，推动新晃从县域中心向湘黔边界协作示范区与西部陆海新通道重要节点城市跨越。</w:t>
      </w:r>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25"/>
              <w:ind w:firstLine="0" w:firstLineChars="0"/>
              <w:jc w:val="center"/>
              <w:rPr>
                <w:rFonts w:ascii="Times New Roman" w:hAnsi="Times New Roman" w:cs="Times New Roman"/>
                <w:b/>
                <w:bCs/>
                <w:lang w:val="en-GB"/>
              </w:rPr>
            </w:pPr>
            <w:r>
              <w:rPr>
                <w:rFonts w:ascii="Times New Roman" w:hAnsi="Times New Roman" w:cs="Times New Roman"/>
                <w:b/>
                <w:bCs/>
                <w:lang w:val="en-GB"/>
              </w:rPr>
              <w:t>专栏九：“十五五”新晃城镇化发展战略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46"/>
              <w:ind w:firstLine="562"/>
              <w:rPr>
                <w:rFonts w:ascii="Times New Roman" w:hAnsi="Times New Roman" w:cs="Times New Roman"/>
              </w:rPr>
            </w:pPr>
            <w:r>
              <w:rPr>
                <w:rFonts w:ascii="Times New Roman" w:hAnsi="Times New Roman" w:cs="Times New Roman"/>
                <w:b/>
              </w:rPr>
              <w:t>东融——强化陆港引领，推动产业融城。</w:t>
            </w:r>
            <w:r>
              <w:rPr>
                <w:rFonts w:ascii="Times New Roman" w:hAnsi="Times New Roman" w:cs="Times New Roman"/>
              </w:rPr>
              <w:t>以怀化国际陆港·新晃港为核心平台，向东主动融入区域发展格局。重点推进大新公铁联运物流园及铁路专用线建设，沿G320、沪昆高速布局临港物流、精细化工、农产品加工等产业，在城东片区配套发展商贸商务功能，构建“港—产—城”协同发展的陆港经济区。</w:t>
            </w:r>
          </w:p>
          <w:p>
            <w:pPr>
              <w:pStyle w:val="46"/>
              <w:ind w:firstLine="562"/>
              <w:rPr>
                <w:rFonts w:ascii="Times New Roman" w:hAnsi="Times New Roman" w:cs="Times New Roman"/>
              </w:rPr>
            </w:pPr>
            <w:r>
              <w:rPr>
                <w:rFonts w:ascii="Times New Roman" w:hAnsi="Times New Roman" w:cs="Times New Roman"/>
                <w:b/>
              </w:rPr>
              <w:t>西优——推动园区升级，促进绿色转型。</w:t>
            </w:r>
            <w:r>
              <w:rPr>
                <w:rFonts w:ascii="Times New Roman" w:hAnsi="Times New Roman" w:cs="Times New Roman"/>
              </w:rPr>
              <w:t>向西优化前锋工业园产业结构，重点发展新能源、新材料等绿色工业。依托高铁新区交通优势与中职教育小区资源，建设产教融合型轻手工业园区。活化利用酒店塘汞矿工业遗产，打造千年汞都活遗址公园，推动工矿文旅融合。强化城西生态公园等绿地系统建设，塑造“园区、矿区、景区”共生共融的西门户形象。</w:t>
            </w:r>
          </w:p>
          <w:p>
            <w:pPr>
              <w:pStyle w:val="46"/>
              <w:ind w:firstLine="562"/>
              <w:rPr>
                <w:rFonts w:ascii="Times New Roman" w:hAnsi="Times New Roman" w:cs="Times New Roman"/>
              </w:rPr>
            </w:pPr>
            <w:r>
              <w:rPr>
                <w:rFonts w:ascii="Times New Roman" w:hAnsi="Times New Roman" w:cs="Times New Roman"/>
                <w:b/>
              </w:rPr>
              <w:t>南联——衔接乡村振兴，延伸城市功能。</w:t>
            </w:r>
            <w:r>
              <w:rPr>
                <w:rFonts w:ascii="Times New Roman" w:hAnsi="Times New Roman" w:cs="Times New Roman"/>
              </w:rPr>
              <w:t>向南通过特色农业、乡村旅游、生态康养等产业协作，拓展城市发展腹地。推动公共服务与基础设施向南部延伸，构建城乡融合、功能互补的协调发展格局。</w:t>
            </w:r>
          </w:p>
          <w:p>
            <w:pPr>
              <w:pStyle w:val="46"/>
              <w:ind w:firstLine="562"/>
              <w:rPr>
                <w:rFonts w:ascii="Times New Roman" w:hAnsi="Times New Roman" w:cs="Times New Roman"/>
              </w:rPr>
            </w:pPr>
            <w:r>
              <w:rPr>
                <w:rFonts w:ascii="Times New Roman" w:hAnsi="Times New Roman" w:cs="Times New Roman"/>
                <w:b/>
              </w:rPr>
              <w:t>北拓——完善公共服务，拓展城市空间。</w:t>
            </w:r>
            <w:r>
              <w:rPr>
                <w:rFonts w:ascii="Times New Roman" w:hAnsi="Times New Roman" w:cs="Times New Roman"/>
              </w:rPr>
              <w:t>向北有序拓展城市框架，重点布局高品质居住区、区域医疗中心、职业教育园区等公共服务功能，补齐城市服务短板，提升综合承载能力，形成功能完善、宜居宜业的城市新组团。</w:t>
            </w:r>
          </w:p>
          <w:p>
            <w:pPr>
              <w:pStyle w:val="46"/>
              <w:ind w:firstLine="562"/>
              <w:rPr>
                <w:rFonts w:ascii="Times New Roman" w:hAnsi="Times New Roman" w:cs="Times New Roman"/>
              </w:rPr>
            </w:pPr>
            <w:r>
              <w:rPr>
                <w:rFonts w:ascii="Times New Roman" w:hAnsi="Times New Roman" w:cs="Times New Roman"/>
                <w:b/>
              </w:rPr>
              <w:t>内畅——优化城市交通，提升流通效率。</w:t>
            </w:r>
            <w:r>
              <w:rPr>
                <w:rFonts w:ascii="Times New Roman" w:hAnsi="Times New Roman" w:cs="Times New Roman"/>
              </w:rPr>
              <w:t>完善“三横三纵”城市骨干路网，推进城西大道、红光大桥等关键节点工程，打通内部循环。构建覆盖全域的公共交通与慢行系统，提高路网密度与通行效率，营造便捷高效的城市内部交通环境。</w:t>
            </w:r>
          </w:p>
          <w:p>
            <w:pPr>
              <w:pStyle w:val="46"/>
              <w:ind w:firstLine="562"/>
              <w:rPr>
                <w:rFonts w:ascii="Times New Roman" w:hAnsi="Times New Roman" w:cs="Times New Roman"/>
              </w:rPr>
            </w:pPr>
            <w:r>
              <w:rPr>
                <w:rFonts w:ascii="Times New Roman" w:hAnsi="Times New Roman" w:cs="Times New Roman"/>
                <w:b/>
              </w:rPr>
              <w:t>外通——构建区域通道，增强枢纽功能。</w:t>
            </w:r>
            <w:r>
              <w:rPr>
                <w:rFonts w:ascii="Times New Roman" w:hAnsi="Times New Roman" w:cs="Times New Roman"/>
              </w:rPr>
              <w:t>加快推进铜仁至天柱高速、新晃通用机场等重大区域交通项目，强化与黔东、滇桂等地区的快速联系。构建“公铁空”多式联运体系，提升新晃在西部陆海新通道中的节点枢纽功能。</w:t>
            </w:r>
          </w:p>
          <w:p>
            <w:pPr>
              <w:pStyle w:val="46"/>
              <w:ind w:firstLine="562"/>
              <w:rPr>
                <w:rFonts w:ascii="Times New Roman" w:hAnsi="Times New Roman" w:cs="Times New Roman"/>
              </w:rPr>
            </w:pPr>
            <w:r>
              <w:rPr>
                <w:rFonts w:hint="eastAsia" w:ascii="Times New Roman" w:hAnsi="Times New Roman" w:cs="Times New Roman"/>
                <w:b/>
                <w:bCs w:val="0"/>
              </w:rPr>
              <w:t>“</w:t>
            </w:r>
            <w:r>
              <w:rPr>
                <w:rFonts w:ascii="Times New Roman" w:hAnsi="Times New Roman" w:cs="Times New Roman"/>
                <w:b/>
                <w:bCs w:val="0"/>
              </w:rPr>
              <w:t>港产城旅</w:t>
            </w:r>
            <w:r>
              <w:rPr>
                <w:rFonts w:hint="eastAsia" w:ascii="Times New Roman" w:hAnsi="Times New Roman" w:cs="Times New Roman"/>
                <w:b/>
                <w:bCs w:val="0"/>
              </w:rPr>
              <w:t>”</w:t>
            </w:r>
            <w:r>
              <w:rPr>
                <w:rFonts w:ascii="Times New Roman" w:hAnsi="Times New Roman" w:cs="Times New Roman"/>
                <w:b/>
                <w:bCs w:val="0"/>
              </w:rPr>
              <w:t>融合——深化四链协同，赋能全域发展</w:t>
            </w:r>
            <w:r>
              <w:rPr>
                <w:rFonts w:ascii="Times New Roman" w:hAnsi="Times New Roman" w:cs="Times New Roman"/>
              </w:rPr>
              <w:t>。坚持以港兴产、以产促城、以城育旅、以旅强港。通过陆港平台集聚现代物流与临港产业，以产业升级夯实经济基础与就业支撑，以城市功能完善优化营商与人居环境，以文旅融合激活消费市场与城市品牌，最终形成“港口、产业、城市、旅游”四轮驱动、生产生活生态文旅和谐共融的全域发展新格局。</w:t>
            </w:r>
          </w:p>
        </w:tc>
      </w:tr>
    </w:tbl>
    <w:p>
      <w:pPr>
        <w:pStyle w:val="25"/>
        <w:ind w:firstLine="602"/>
        <w:rPr>
          <w:rFonts w:ascii="Times New Roman" w:hAnsi="Times New Roman" w:cs="Times New Roman"/>
        </w:rPr>
      </w:pPr>
      <w:r>
        <w:rPr>
          <w:rFonts w:ascii="Times New Roman" w:hAnsi="Times New Roman" w:eastAsia="楷体" w:cs="Times New Roman"/>
          <w:b/>
          <w:bCs/>
          <w:lang w:val="en-GB"/>
        </w:rPr>
        <w:t>推动城乡基础设施一体化。</w:t>
      </w:r>
      <w:r>
        <w:rPr>
          <w:rFonts w:ascii="Times New Roman" w:hAnsi="Times New Roman" w:cs="Times New Roman"/>
        </w:rPr>
        <w:t>坚持规划同图、建设同步、管理同标，统筹布局和系统升级城乡交通、供水、能源、信息、物流、防灾减灾等基础设施网络，推动市政公用设施向城郊乡村和规模较大中心镇延伸。强化各类基础设施跨区域衔接和城乡间互联互通，加快构建功能完善、布局合理、高效智能、安全可靠的城乡一体化基础设施体系，逐步消除城乡基础设施差距，夯实城乡融合发展的硬件基础，全面提升城乡综合承载能力和运行保障水平。</w:t>
      </w:r>
    </w:p>
    <w:p>
      <w:pPr>
        <w:pStyle w:val="25"/>
        <w:ind w:firstLine="602"/>
        <w:rPr>
          <w:rFonts w:ascii="Times New Roman" w:hAnsi="Times New Roman" w:cs="Times New Roman"/>
        </w:rPr>
      </w:pPr>
      <w:r>
        <w:rPr>
          <w:rFonts w:ascii="Times New Roman" w:hAnsi="Times New Roman" w:eastAsia="楷体" w:cs="Times New Roman"/>
          <w:b/>
          <w:bCs/>
          <w:lang w:val="en-GB"/>
        </w:rPr>
        <w:t>推动公共服务均等化。</w:t>
      </w:r>
      <w:r>
        <w:rPr>
          <w:rFonts w:ascii="Times New Roman" w:hAnsi="Times New Roman" w:cs="Times New Roman"/>
        </w:rPr>
        <w:t>以标准化、便利化为导向，推动教育、医疗、文化、养老等公共服务资源直达农村、服务农民。实施城乡学校布局优化与能力提升工程，推动教师资源县域统筹和轮岗交流。健全县乡村三级医疗卫生服务网络，推进乡镇卫生院和村卫生室标准化建设，完善分级诊疗体系。加快构建城乡一体的公共文化服务体系，实现村级综合文化服务中心全覆盖。统筹城乡社会保障制度，完善统一的城乡居民基本医疗保险、大病保险和医疗救助体系，稳步提高保障水平。</w:t>
      </w:r>
    </w:p>
    <w:p>
      <w:pPr>
        <w:pStyle w:val="25"/>
        <w:ind w:firstLine="602"/>
        <w:rPr>
          <w:rFonts w:ascii="Times New Roman" w:hAnsi="Times New Roman" w:cs="Times New Roman"/>
        </w:rPr>
      </w:pPr>
      <w:r>
        <w:rPr>
          <w:rFonts w:ascii="Times New Roman" w:hAnsi="Times New Roman" w:eastAsia="楷体" w:cs="Times New Roman"/>
          <w:b/>
          <w:bCs/>
          <w:lang w:val="en-GB"/>
        </w:rPr>
        <w:t>促进城乡要素融合。</w:t>
      </w:r>
      <w:r>
        <w:rPr>
          <w:rFonts w:ascii="Times New Roman" w:hAnsi="Times New Roman" w:cs="Times New Roman"/>
        </w:rPr>
        <w:t>深化户籍制度改革，促进农业转移人口市民化。着力破除体制机制壁垒，引导城市资本、技术、人才等要素“下沉”乡村，推动农产品进城、乡村旅游兴旺。建立健全城乡统一的建设用地市场，稳妥推进农村集体经营性建设用地入市，探索宅基地“三权”分置有效实现形式。创新城乡产业协同发展模式，支持城市企业向农村延伸产业链，发展“农业+加工+文旅”等融合业态。</w:t>
      </w:r>
    </w:p>
    <w:bookmarkEnd w:id="101"/>
    <w:p>
      <w:pPr>
        <w:pStyle w:val="25"/>
        <w:ind w:firstLine="600"/>
        <w:rPr>
          <w:rFonts w:ascii="Times New Roman" w:hAnsi="Times New Roman" w:cs="Times New Roman"/>
          <w:lang w:val="en-GB"/>
        </w:rPr>
        <w:sectPr>
          <w:pgSz w:w="11906" w:h="16838"/>
          <w:pgMar w:top="1440" w:right="1800" w:bottom="1440" w:left="1800" w:header="851" w:footer="992" w:gutter="0"/>
          <w:pgNumType w:fmt="decimal"/>
          <w:cols w:space="425" w:num="1"/>
          <w:docGrid w:type="lines" w:linePitch="312" w:charSpace="0"/>
        </w:sectPr>
      </w:pPr>
    </w:p>
    <w:p>
      <w:pPr>
        <w:pStyle w:val="24"/>
        <w:numPr>
          <w:ilvl w:val="0"/>
          <w:numId w:val="1"/>
        </w:numPr>
      </w:pPr>
      <w:bookmarkStart w:id="151" w:name="_Toc216945833"/>
      <w:r>
        <w:t xml:space="preserve">激活有效投资 </w:t>
      </w:r>
      <w:r>
        <w:rPr>
          <w:lang w:val="en-US"/>
        </w:rPr>
        <w:t>扩大内需畅通经济大循环</w:t>
      </w:r>
      <w:bookmarkEnd w:id="151"/>
    </w:p>
    <w:p>
      <w:pPr>
        <w:pStyle w:val="25"/>
        <w:ind w:firstLine="600"/>
        <w:rPr>
          <w:rFonts w:ascii="Times New Roman" w:hAnsi="Times New Roman" w:cs="Times New Roman"/>
          <w:lang w:val="en-GB"/>
        </w:rPr>
      </w:pPr>
      <w:r>
        <w:rPr>
          <w:rFonts w:ascii="Times New Roman" w:hAnsi="Times New Roman" w:cs="Times New Roman"/>
          <w:lang w:val="en-GB"/>
        </w:rPr>
        <w:t>坚持扩大内需战略基点，以促进消费扩容提质和有效投资良性互动为核心，全面激发县域市场潜力，为县域经济高质量发展提供坚实支撑。</w:t>
      </w:r>
    </w:p>
    <w:p>
      <w:pPr>
        <w:pStyle w:val="29"/>
        <w:numPr>
          <w:ilvl w:val="0"/>
          <w:numId w:val="9"/>
        </w:numPr>
        <w:rPr>
          <w:rFonts w:ascii="Times New Roman" w:hAnsi="Times New Roman" w:cs="Times New Roman"/>
          <w:lang w:val="en-GB"/>
        </w:rPr>
      </w:pPr>
      <w:bookmarkStart w:id="152" w:name="_Toc216945834"/>
      <w:r>
        <w:rPr>
          <w:rFonts w:ascii="Times New Roman" w:hAnsi="Times New Roman" w:cs="Times New Roman"/>
          <w:lang w:val="en-GB"/>
        </w:rPr>
        <w:t>培育壮大新型消费</w:t>
      </w:r>
      <w:bookmarkEnd w:id="152"/>
    </w:p>
    <w:p>
      <w:pPr>
        <w:pStyle w:val="25"/>
        <w:ind w:firstLine="600"/>
        <w:rPr>
          <w:rFonts w:ascii="Times New Roman" w:hAnsi="Times New Roman" w:cs="Times New Roman"/>
        </w:rPr>
      </w:pPr>
      <w:r>
        <w:rPr>
          <w:rFonts w:ascii="Times New Roman" w:hAnsi="Times New Roman" w:cs="Times New Roman"/>
        </w:rPr>
        <w:t>适应消费个性化、多样化、品质化趋势，重点布局四大消费领域，形成差异化竞争优势。</w:t>
      </w:r>
    </w:p>
    <w:p>
      <w:pPr>
        <w:pStyle w:val="25"/>
        <w:ind w:firstLine="602"/>
        <w:rPr>
          <w:rFonts w:ascii="Times New Roman" w:hAnsi="Times New Roman" w:cs="Times New Roman"/>
          <w:lang w:val="en-GB"/>
        </w:rPr>
      </w:pPr>
      <w:r>
        <w:rPr>
          <w:rFonts w:ascii="Times New Roman" w:hAnsi="Times New Roman" w:eastAsia="楷体" w:cs="Times New Roman"/>
          <w:b/>
          <w:bCs/>
          <w:szCs w:val="32"/>
          <w:lang w:val="en-GB"/>
        </w:rPr>
        <w:t>发展户外休闲消费。</w:t>
      </w:r>
      <w:r>
        <w:rPr>
          <w:rFonts w:ascii="Times New Roman" w:hAnsi="Times New Roman" w:cs="Times New Roman"/>
          <w:lang w:val="en-GB"/>
        </w:rPr>
        <w:t>依托山水生态和</w:t>
      </w:r>
      <w:r>
        <w:rPr>
          <w:rFonts w:ascii="Times New Roman" w:hAnsi="Times New Roman" w:cs="Times New Roman"/>
        </w:rPr>
        <w:t>品牌赛事资源</w:t>
      </w:r>
      <w:r>
        <w:rPr>
          <w:rFonts w:ascii="Times New Roman" w:hAnsi="Times New Roman" w:cs="Times New Roman"/>
          <w:lang w:val="en-GB"/>
        </w:rPr>
        <w:t>，大力发展运动消费，构建多元户外休闲体系。规划建设㵲水河水上休闲运动基地，发展水上娱乐+水上运动项目。规划建设黄家垅森林公园户外运动基地，设置山地自行车、房车露营与帐篷露营基地、户外拓展训练基地等运动休闲项目。规划建设从兴隆高速路口沿乡镇公路进入步头降乡、米贝、中寨等各乡镇公路和沿线的侗乡腹地的特色骑游环线，打造百里侗乡户外骑行绿道旅游环线。积极引进和培育户外装备、体育用品销售及租赁服务，延伸户外消费链条。</w:t>
      </w:r>
    </w:p>
    <w:p>
      <w:pPr>
        <w:pStyle w:val="25"/>
        <w:ind w:firstLine="602"/>
        <w:rPr>
          <w:rFonts w:ascii="Times New Roman" w:hAnsi="Times New Roman" w:cs="Times New Roman"/>
          <w:lang w:val="en-GB"/>
        </w:rPr>
      </w:pPr>
      <w:r>
        <w:rPr>
          <w:rFonts w:ascii="Times New Roman" w:hAnsi="Times New Roman" w:eastAsia="楷体" w:cs="Times New Roman"/>
          <w:b/>
          <w:bCs/>
          <w:szCs w:val="32"/>
          <w:lang w:val="en-GB"/>
        </w:rPr>
        <w:t>培育情绪疗愈消费。</w:t>
      </w:r>
      <w:r>
        <w:rPr>
          <w:rFonts w:ascii="Times New Roman" w:hAnsi="Times New Roman" w:cs="Times New Roman"/>
          <w:lang w:val="en-GB"/>
        </w:rPr>
        <w:t>围绕现代人群的压力疏解和情感慰藉需求，培育情绪消费市场，打造系列治愈系产品与体验。在龙溪古镇、传统村落布局解压体验馆、艺术疗愈工坊，</w:t>
      </w:r>
      <w:bookmarkStart w:id="153" w:name="OLE_LINK8"/>
      <w:r>
        <w:rPr>
          <w:rFonts w:ascii="Times New Roman" w:hAnsi="Times New Roman" w:cs="Times New Roman"/>
          <w:lang w:val="en-GB"/>
        </w:rPr>
        <w:t>规划设置</w:t>
      </w:r>
      <w:bookmarkEnd w:id="153"/>
      <w:r>
        <w:rPr>
          <w:rFonts w:ascii="Times New Roman" w:hAnsi="Times New Roman" w:cs="Times New Roman"/>
          <w:lang w:val="en-GB"/>
        </w:rPr>
        <w:t>版画制作、木雕根雕、森林冥想等业态，培育地域性、个性化消费产品。加强药理药效研究，深度挖掘开发朱砂、龙脑、黄精药用价值，满足人民健康养护、美容养生和精神放松的需求。深度开发以“新晃三宝”为原料的情绪文创产品。结合非遗资源，推出沉浸式演艺、互动剧场。鼓励发展宠物经济、单身经济等新兴情感消费业态，满足多元精神需求。</w:t>
      </w:r>
    </w:p>
    <w:p>
      <w:pPr>
        <w:pStyle w:val="25"/>
        <w:ind w:firstLine="602"/>
        <w:rPr>
          <w:rFonts w:ascii="Times New Roman" w:hAnsi="Times New Roman" w:eastAsia="楷体" w:cs="Times New Roman"/>
          <w:b/>
          <w:bCs/>
          <w:szCs w:val="32"/>
          <w:lang w:val="en-GB"/>
        </w:rPr>
      </w:pPr>
      <w:r>
        <w:rPr>
          <w:rFonts w:ascii="Times New Roman" w:hAnsi="Times New Roman" w:eastAsia="楷体" w:cs="Times New Roman"/>
          <w:b/>
          <w:bCs/>
          <w:szCs w:val="32"/>
          <w:lang w:val="en-GB"/>
        </w:rPr>
        <w:t>升级夜间经济消费。</w:t>
      </w:r>
      <w:r>
        <w:rPr>
          <w:rFonts w:ascii="Times New Roman" w:hAnsi="Times New Roman" w:cs="Times New Roman"/>
          <w:lang w:val="en-GB"/>
        </w:rPr>
        <w:t>以龙溪古镇为核心载体，规划夜间消费场景与业态布局，打造具有侗乡风情与时尚气息的“夜新晃”品牌。丰富夜间文旅供给，推出古镇夜游、光影秀、民俗演艺等沉浸式体验项目；升级夜间商业，培育特色夜市、24小时便利店、深夜食堂等多元业态，延长消费时段；完善夜间交通、照明、安全等配套保障，优化消费环境，形成“夜游、夜购、夜娱、夜食”一体化发展的夜间经济体系。</w:t>
      </w:r>
    </w:p>
    <w:p>
      <w:pPr>
        <w:pStyle w:val="25"/>
        <w:ind w:firstLine="602"/>
        <w:rPr>
          <w:rFonts w:ascii="Times New Roman" w:hAnsi="Times New Roman" w:cs="Times New Roman"/>
        </w:rPr>
      </w:pPr>
      <w:r>
        <w:rPr>
          <w:rFonts w:ascii="Times New Roman" w:hAnsi="Times New Roman" w:eastAsia="楷体" w:cs="Times New Roman"/>
          <w:b/>
          <w:bCs/>
          <w:szCs w:val="32"/>
          <w:lang w:val="en-GB"/>
        </w:rPr>
        <w:t>深耕康养旅居消费。</w:t>
      </w:r>
      <w:r>
        <w:rPr>
          <w:rFonts w:ascii="Times New Roman" w:hAnsi="Times New Roman" w:cs="Times New Roman"/>
          <w:lang w:val="en-GB"/>
        </w:rPr>
        <w:t>整合侗族文化、生态资源与中医药优势，构建“医、养、游、居”深度融合的康养旅居消费体系，开发温泉康养、非遗文化体验、休闲度假等复合型消费场景。依托县中医医院、侗医药研究中心等平台，开发</w:t>
      </w:r>
      <w:bookmarkStart w:id="154" w:name="OLE_LINK50"/>
      <w:r>
        <w:rPr>
          <w:rFonts w:ascii="Times New Roman" w:hAnsi="Times New Roman" w:cs="Times New Roman"/>
          <w:lang w:val="en-GB"/>
        </w:rPr>
        <w:t>侗医药浴</w:t>
      </w:r>
      <w:bookmarkEnd w:id="154"/>
      <w:r>
        <w:rPr>
          <w:rFonts w:ascii="Times New Roman" w:hAnsi="Times New Roman" w:cs="Times New Roman"/>
          <w:lang w:val="en-GB"/>
        </w:rPr>
        <w:t>、推拿理疗、药膳食疗等特色康养服务，推出“黄精滋补套餐”“龙脑安神疗程”等定制化康养产品。在波洲、凉伞、扶罗、步头降、贡溪等乡镇布局一批康养民宿集群和旅居社区，配套建设康养服务中心、绿色膳食餐厅、休闲健身设施，提供中长期旅居康养服务。建立健全康养旅居服务标准和评价体系，提升服务品质和客户满意度。</w:t>
      </w:r>
    </w:p>
    <w:p>
      <w:pPr>
        <w:pStyle w:val="29"/>
        <w:numPr>
          <w:ilvl w:val="0"/>
          <w:numId w:val="9"/>
        </w:numPr>
        <w:rPr>
          <w:rFonts w:ascii="Times New Roman" w:hAnsi="Times New Roman" w:cs="Times New Roman"/>
          <w:lang w:val="en-GB"/>
        </w:rPr>
      </w:pPr>
      <w:bookmarkStart w:id="155" w:name="_Toc216945835"/>
      <w:r>
        <w:rPr>
          <w:rFonts w:ascii="Times New Roman" w:hAnsi="Times New Roman" w:cs="Times New Roman"/>
          <w:lang w:val="en-GB"/>
        </w:rPr>
        <w:t>提质升级传统消费</w:t>
      </w:r>
      <w:bookmarkEnd w:id="155"/>
    </w:p>
    <w:p>
      <w:pPr>
        <w:pStyle w:val="25"/>
        <w:ind w:firstLine="600"/>
        <w:rPr>
          <w:rFonts w:ascii="Times New Roman" w:hAnsi="Times New Roman" w:cs="Times New Roman"/>
          <w:lang w:val="en-GB"/>
        </w:rPr>
      </w:pPr>
      <w:r>
        <w:rPr>
          <w:rFonts w:ascii="Times New Roman" w:hAnsi="Times New Roman" w:cs="Times New Roman"/>
          <w:lang w:val="en-GB"/>
        </w:rPr>
        <w:t>以提升传统消费能级、激发存量市场活力为核心，推动商品和服务供给从“有”向“优”转变，增强消费对经济发展的基础性作用。</w:t>
      </w:r>
    </w:p>
    <w:p>
      <w:pPr>
        <w:pStyle w:val="25"/>
        <w:ind w:firstLine="602"/>
        <w:rPr>
          <w:rFonts w:ascii="Times New Roman" w:hAnsi="Times New Roman" w:cs="Times New Roman"/>
        </w:rPr>
      </w:pPr>
      <w:r>
        <w:rPr>
          <w:rFonts w:ascii="Times New Roman" w:hAnsi="Times New Roman" w:eastAsia="楷体" w:cs="Times New Roman"/>
          <w:b/>
          <w:bCs/>
          <w:lang w:val="en-GB"/>
        </w:rPr>
        <w:t>提质扩容传统消费。</w:t>
      </w:r>
      <w:r>
        <w:rPr>
          <w:rFonts w:ascii="Times New Roman" w:hAnsi="Times New Roman" w:cs="Times New Roman"/>
          <w:lang w:val="en-GB"/>
        </w:rPr>
        <w:t>落实和完善新能源汽车购置税减免、家电以旧换新等优惠政策，</w:t>
      </w:r>
      <w:r>
        <w:rPr>
          <w:rFonts w:ascii="Times New Roman" w:hAnsi="Times New Roman" w:cs="Times New Roman"/>
        </w:rPr>
        <w:t>稳定和扩大汽车、家电、家居等大宗消费。鼓励企业开展年货促销、参加各类展会，组织企业入驻湘工惠、建行生活等平台参与消费券发放活动。</w:t>
      </w:r>
      <w:r>
        <w:rPr>
          <w:rFonts w:ascii="Times New Roman" w:hAnsi="Times New Roman" w:cs="Times New Roman"/>
          <w:lang w:val="en-GB"/>
        </w:rPr>
        <w:t>推动县城优质商业资源下沉，引导大型商超、品牌连锁便利店向乡镇布局，丰富农村市场的商品品类与品质选择。支持商贸主体加快数字化转型，运用线上商城、社群团购、本地直播带货等方式，拓展“线上下单、就近配送”的融合消费场景，提升本县居民，尤其是乡镇居民的消费便利度和获得感。</w:t>
      </w:r>
    </w:p>
    <w:p>
      <w:pPr>
        <w:pStyle w:val="25"/>
        <w:ind w:firstLine="602"/>
        <w:rPr>
          <w:rFonts w:ascii="Times New Roman" w:hAnsi="Times New Roman" w:cs="Times New Roman"/>
          <w:lang w:val="en-GB"/>
        </w:rPr>
      </w:pPr>
      <w:r>
        <w:rPr>
          <w:rFonts w:ascii="Times New Roman" w:hAnsi="Times New Roman" w:eastAsia="楷体" w:cs="Times New Roman"/>
          <w:b/>
          <w:bCs/>
          <w:lang w:val="en-GB"/>
        </w:rPr>
        <w:t>优化提升服务消费。</w:t>
      </w:r>
      <w:r>
        <w:rPr>
          <w:rFonts w:ascii="Times New Roman" w:hAnsi="Times New Roman" w:cs="Times New Roman"/>
          <w:lang w:val="en-GB"/>
        </w:rPr>
        <w:t>围绕满足人民日益增长的美好生活需要，推动服务消费向高品质、多样化升级。提质发展住宿服务，引导发展主题酒店、精品民宿、度假村等多层次住宿体系，鼓励融入侗族文化、生态康养等元素，提升服务品质与特色体验。繁荣文化娱乐服务，支持剧院、演艺场所、多功能影厅等设施建设与内容供给，引进和培育特色演艺、音乐节、艺术展览等文化产品，丰富群众精神文化生活。拓展专业化生活服务，鼓励发展规范化、品牌化的家政服务、物业安保、母婴护理、康复理疗等业态，完善服务标准，提升服务技能，培育“新晃家政”“侗乡巧匠”等服务劳务品牌，</w:t>
      </w:r>
      <w:r>
        <w:rPr>
          <w:rFonts w:ascii="Times New Roman" w:hAnsi="Times New Roman" w:cs="Times New Roman"/>
        </w:rPr>
        <w:t>构建贴心、便捷、高质量的本地生活服务圈。</w:t>
      </w:r>
    </w:p>
    <w:p>
      <w:pPr>
        <w:pStyle w:val="25"/>
        <w:ind w:firstLine="602"/>
        <w:rPr>
          <w:rFonts w:ascii="Times New Roman" w:hAnsi="Times New Roman" w:cs="Times New Roman"/>
          <w:lang w:val="en-GB"/>
        </w:rPr>
      </w:pPr>
      <w:r>
        <w:rPr>
          <w:rFonts w:ascii="Times New Roman" w:hAnsi="Times New Roman" w:eastAsia="楷体" w:cs="Times New Roman"/>
          <w:b/>
          <w:bCs/>
          <w:lang w:val="en-GB"/>
        </w:rPr>
        <w:t>拓展特色产品消费。</w:t>
      </w:r>
      <w:r>
        <w:rPr>
          <w:rFonts w:ascii="Times New Roman" w:hAnsi="Times New Roman" w:cs="Times New Roman"/>
          <w:lang w:val="en-GB"/>
        </w:rPr>
        <w:t>依托“新晃黄牛肉”“新晃黄精”“新晃龙脑”等地理标志产品和名特优新农产品资源，打造“心侗新晃”区域公共品牌矩阵，培育5个以上年网络销售额超千万元的“爆款单品”。推动特色农产品精深加工和品牌化营销。支持开发即食性、功能性、礼品化消费品，推动“土特产”向“伴手礼”“健康品”“文创品”升级。鼓励传统手工艺品、民族服饰、文创产品与现代设计、时尚元素融合创新，提升产品附加值和市场竞争力。建立健全特色产品质量追溯体系，强化品牌保护和市场监管，提升消费者信任度。</w:t>
      </w:r>
    </w:p>
    <w:p>
      <w:pPr>
        <w:pStyle w:val="29"/>
        <w:numPr>
          <w:ilvl w:val="0"/>
          <w:numId w:val="9"/>
        </w:numPr>
        <w:rPr>
          <w:rFonts w:ascii="Times New Roman" w:hAnsi="Times New Roman" w:cs="Times New Roman"/>
          <w:lang w:val="en-GB"/>
        </w:rPr>
      </w:pPr>
      <w:bookmarkStart w:id="156" w:name="_Toc216945836"/>
      <w:r>
        <w:rPr>
          <w:rFonts w:ascii="Times New Roman" w:hAnsi="Times New Roman" w:cs="Times New Roman"/>
          <w:lang w:val="en-GB"/>
        </w:rPr>
        <w:t>优化提升消费环境</w:t>
      </w:r>
      <w:bookmarkEnd w:id="156"/>
    </w:p>
    <w:p>
      <w:pPr>
        <w:pStyle w:val="25"/>
        <w:ind w:firstLine="600"/>
        <w:rPr>
          <w:rFonts w:ascii="Times New Roman" w:hAnsi="Times New Roman" w:cs="Times New Roman"/>
        </w:rPr>
      </w:pPr>
      <w:r>
        <w:rPr>
          <w:rFonts w:ascii="Times New Roman" w:hAnsi="Times New Roman" w:cs="Times New Roman"/>
        </w:rPr>
        <w:t>坚持软硬环境并举，加强市场监管，完善消费基础设施，营造安全、便利、诚信、舒心的消费环境。</w:t>
      </w:r>
    </w:p>
    <w:p>
      <w:pPr>
        <w:pStyle w:val="25"/>
        <w:ind w:firstLine="602"/>
        <w:rPr>
          <w:rFonts w:ascii="Times New Roman" w:hAnsi="Times New Roman" w:cs="Times New Roman"/>
        </w:rPr>
      </w:pPr>
      <w:r>
        <w:rPr>
          <w:rFonts w:ascii="Times New Roman" w:hAnsi="Times New Roman" w:eastAsia="楷体" w:cs="Times New Roman"/>
          <w:b/>
          <w:bCs/>
          <w:szCs w:val="32"/>
          <w:lang w:val="en-GB"/>
        </w:rPr>
        <w:t>创新消费促进机制。</w:t>
      </w:r>
      <w:r>
        <w:rPr>
          <w:rFonts w:ascii="Times New Roman" w:hAnsi="Times New Roman" w:cs="Times New Roman"/>
        </w:rPr>
        <w:t>运用现代营销理念与工具，讲好新晃故事，拓展消费市场，实现从“有产品”到“有流量”再到“有销量”的有效转化。</w:t>
      </w:r>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25"/>
              <w:ind w:firstLine="0" w:firstLineChars="0"/>
              <w:jc w:val="center"/>
              <w:rPr>
                <w:rFonts w:ascii="Times New Roman" w:hAnsi="Times New Roman" w:cs="Times New Roman"/>
                <w:b/>
                <w:bCs/>
              </w:rPr>
            </w:pPr>
            <w:r>
              <w:rPr>
                <w:rFonts w:ascii="Times New Roman" w:hAnsi="Times New Roman" w:cs="Times New Roman"/>
                <w:b/>
                <w:bCs/>
              </w:rPr>
              <w:t>专栏十：消费引流与转化拓展行动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46"/>
              <w:ind w:firstLine="562"/>
              <w:rPr>
                <w:rFonts w:ascii="Times New Roman" w:hAnsi="Times New Roman" w:cs="Times New Roman"/>
              </w:rPr>
            </w:pPr>
            <w:r>
              <w:rPr>
                <w:rFonts w:ascii="Times New Roman" w:hAnsi="Times New Roman" w:cs="Times New Roman"/>
                <w:b/>
                <w:bCs w:val="0"/>
              </w:rPr>
              <w:t>社交媒体精准营销。</w:t>
            </w:r>
            <w:r>
              <w:rPr>
                <w:rFonts w:ascii="Times New Roman" w:hAnsi="Times New Roman" w:cs="Times New Roman"/>
              </w:rPr>
              <w:t>充分利用抖音、快手、小红书等社交平台，开展精准化营销推广。邀请网红和关键意见领袖进行实地探访和直播带货，打造爆款话题。建立官方账号矩阵，定期开展互动抽奖、发布优惠券等活动，吸引年轻群体关注和消费转化。</w:t>
            </w:r>
          </w:p>
          <w:p>
            <w:pPr>
              <w:pStyle w:val="46"/>
              <w:ind w:firstLine="562"/>
              <w:rPr>
                <w:rFonts w:ascii="Times New Roman" w:hAnsi="Times New Roman" w:cs="Times New Roman"/>
              </w:rPr>
            </w:pPr>
            <w:r>
              <w:rPr>
                <w:rFonts w:ascii="Times New Roman" w:hAnsi="Times New Roman" w:cs="Times New Roman"/>
                <w:b/>
                <w:bCs w:val="0"/>
              </w:rPr>
              <w:t>内容创意故事营销。</w:t>
            </w:r>
            <w:r>
              <w:rPr>
                <w:rFonts w:ascii="Times New Roman" w:hAnsi="Times New Roman" w:cs="Times New Roman"/>
              </w:rPr>
              <w:t>围绕新晃的历史文化和资源特色，创作系列微电影、纪录片和图文故事，生动讲述夜郎古国、晃州古驿、西南联大西迁等文化IP传奇。在文旅场馆、线上平台推出“康养新晃”“神秘夜郎”等短视频专栏与微短剧系列。鼓励用户生成内容，举办摄影大赛、游记征集等活动，形成口碑传播效应。</w:t>
            </w:r>
          </w:p>
          <w:p>
            <w:pPr>
              <w:pStyle w:val="46"/>
              <w:ind w:firstLine="562"/>
              <w:rPr>
                <w:rFonts w:ascii="Times New Roman" w:hAnsi="Times New Roman" w:cs="Times New Roman"/>
              </w:rPr>
            </w:pPr>
            <w:r>
              <w:rPr>
                <w:rFonts w:ascii="Times New Roman" w:hAnsi="Times New Roman" w:cs="Times New Roman"/>
                <w:b/>
                <w:bCs w:val="0"/>
              </w:rPr>
              <w:t>体验式互动营销。</w:t>
            </w:r>
            <w:r>
              <w:rPr>
                <w:rFonts w:ascii="Times New Roman" w:hAnsi="Times New Roman" w:cs="Times New Roman"/>
              </w:rPr>
              <w:t>在景区、商圈设置互动体验区，提供黄精茶饮试饮、龙脑精油DIY和侗锦编织等体验项目。举办龙溪夜市、民俗节庆和运动赛事。开展“企业开放日”和“产地溯源游”活动。</w:t>
            </w:r>
          </w:p>
          <w:p>
            <w:pPr>
              <w:pStyle w:val="46"/>
              <w:ind w:firstLine="562"/>
              <w:rPr>
                <w:rFonts w:ascii="Times New Roman" w:hAnsi="Times New Roman" w:cs="Times New Roman"/>
              </w:rPr>
            </w:pPr>
            <w:r>
              <w:rPr>
                <w:rFonts w:ascii="Times New Roman" w:hAnsi="Times New Roman" w:cs="Times New Roman"/>
                <w:b/>
                <w:bCs w:val="0"/>
              </w:rPr>
              <w:t>跨界合作联动营销。</w:t>
            </w:r>
            <w:r>
              <w:rPr>
                <w:rFonts w:ascii="Times New Roman" w:hAnsi="Times New Roman" w:cs="Times New Roman"/>
              </w:rPr>
              <w:t>积极推动跨界合作，与周边县市、知名品牌和平台开展联合营销。与电商平台、旅游企业捆绑销售旅游产品。引入知名IP开展联名合作，开发主题文创商品，吸引多元客群。</w:t>
            </w:r>
          </w:p>
        </w:tc>
      </w:tr>
    </w:tbl>
    <w:p>
      <w:pPr>
        <w:pStyle w:val="25"/>
        <w:ind w:firstLine="602"/>
        <w:rPr>
          <w:rFonts w:ascii="Times New Roman" w:hAnsi="Times New Roman" w:cs="Times New Roman"/>
        </w:rPr>
      </w:pPr>
      <w:r>
        <w:rPr>
          <w:rFonts w:ascii="Times New Roman" w:hAnsi="Times New Roman" w:eastAsia="楷体" w:cs="Times New Roman"/>
          <w:b/>
          <w:bCs/>
          <w:szCs w:val="32"/>
        </w:rPr>
        <w:t>优化消费发展环境。</w:t>
      </w:r>
      <w:r>
        <w:rPr>
          <w:rFonts w:ascii="Times New Roman" w:hAnsi="Times New Roman" w:cs="Times New Roman"/>
          <w:b/>
          <w:bCs/>
        </w:rPr>
        <w:t>优化消费空间载体。</w:t>
      </w:r>
      <w:r>
        <w:rPr>
          <w:rFonts w:ascii="Times New Roman" w:hAnsi="Times New Roman" w:cs="Times New Roman"/>
        </w:rPr>
        <w:t>建设“城西滨水休闲街区”，集中布局精品民宿、特色餐饮、文创工坊，打造集夜游、夜宴、夜娱于一体的城市客厅。建设“龙溪古镇非遗体验街区”，对现有街区进行风貌整治与业态升级，引入非遗体验店。建设“百里侗乡风情廊道”沿线服务节点，在特色骑游环线和主要旅游公路沿线，布局3—5个集观景、补给、休憩、特产售卖于一体的驿站。</w:t>
      </w:r>
      <w:r>
        <w:rPr>
          <w:rFonts w:ascii="Times New Roman" w:hAnsi="Times New Roman" w:cs="Times New Roman"/>
          <w:b/>
          <w:bCs/>
        </w:rPr>
        <w:t>完善政策与营商环境。</w:t>
      </w:r>
      <w:r>
        <w:rPr>
          <w:rFonts w:ascii="Times New Roman" w:hAnsi="Times New Roman" w:cs="Times New Roman"/>
        </w:rPr>
        <w:t>出台“夜间经济与特色外摆管理细则”，在龙溪古镇、滨水街区等划定区域，规范发展“夜市”“外摆市集”，允许在规定时段、规定区域内开展特色经营。设立“新业态消费培育基金”，每年安排专项资金，通过以奖代补方式，对成功引进首店经济、打造网红打卡点、开展成功营销活动的市场主体给予支持。</w:t>
      </w:r>
      <w:r>
        <w:rPr>
          <w:rFonts w:ascii="Times New Roman" w:hAnsi="Times New Roman" w:cs="Times New Roman"/>
          <w:b/>
          <w:bCs/>
        </w:rPr>
        <w:t>强化市场监管与权益保护。</w:t>
      </w:r>
      <w:r>
        <w:rPr>
          <w:rFonts w:ascii="Times New Roman" w:hAnsi="Times New Roman" w:cs="Times New Roman"/>
        </w:rPr>
        <w:t>健全消费者权益保护工作机制，畅通投诉举报渠道，完善多元化解机制，依法严厉打击制售假冒伪劣商品、虚假宣传等侵害消费者权益行为。加强价格监管，维护公平竞争的市场秩序。推进消费领域信用体系建设，营造诚实守信的消费环境。</w:t>
      </w:r>
    </w:p>
    <w:p>
      <w:pPr>
        <w:pStyle w:val="29"/>
        <w:numPr>
          <w:ilvl w:val="0"/>
          <w:numId w:val="9"/>
        </w:numPr>
        <w:rPr>
          <w:rFonts w:ascii="Times New Roman" w:hAnsi="Times New Roman" w:cs="Times New Roman"/>
          <w:lang w:val="en-GB"/>
        </w:rPr>
      </w:pPr>
      <w:bookmarkStart w:id="157" w:name="_Toc216945837"/>
      <w:r>
        <w:rPr>
          <w:rFonts w:ascii="Times New Roman" w:hAnsi="Times New Roman" w:cs="Times New Roman"/>
          <w:lang w:val="en-GB"/>
        </w:rPr>
        <w:t>持续扩大有效投资</w:t>
      </w:r>
      <w:bookmarkEnd w:id="157"/>
    </w:p>
    <w:p>
      <w:pPr>
        <w:pStyle w:val="25"/>
        <w:ind w:firstLine="600"/>
        <w:rPr>
          <w:rFonts w:ascii="Times New Roman" w:hAnsi="Times New Roman" w:cs="Times New Roman"/>
        </w:rPr>
      </w:pPr>
      <w:r>
        <w:rPr>
          <w:rFonts w:ascii="Times New Roman" w:hAnsi="Times New Roman" w:cs="Times New Roman"/>
        </w:rPr>
        <w:t>发挥投资对优化供给的关键作用，优化投资结构，提高投资效率，保持投资合理增长，为经济社会发展注入持续动力。</w:t>
      </w:r>
    </w:p>
    <w:p>
      <w:pPr>
        <w:pStyle w:val="25"/>
        <w:ind w:firstLine="602"/>
        <w:rPr>
          <w:rFonts w:ascii="Times New Roman" w:hAnsi="Times New Roman" w:cs="Times New Roman"/>
        </w:rPr>
      </w:pPr>
      <w:r>
        <w:rPr>
          <w:rFonts w:ascii="Times New Roman" w:hAnsi="Times New Roman" w:eastAsia="楷体" w:cs="Times New Roman"/>
          <w:b/>
          <w:bCs/>
          <w:lang w:val="en-GB"/>
        </w:rPr>
        <w:t>发挥政府投资引导支撑作用。</w:t>
      </w:r>
      <w:r>
        <w:rPr>
          <w:rFonts w:ascii="Times New Roman" w:hAnsi="Times New Roman" w:cs="Times New Roman"/>
          <w:lang w:val="en-GB"/>
        </w:rPr>
        <w:t>紧扣“一堡五高地”建设目标，在精细化工、特质农业、文旅康养、基础设施等领域，系统谋划储备一批牵引性、标志性重大工程项目，建立“谋划一批、储备一批、开工一批、投产一批”重大项目动态管理机制，加快项目落地实施，保持政府投资合理规模。加大争项争资力度，统筹用好中央预算内投资、地方政府专项债券、超长期特别国债等政策工具，</w:t>
      </w:r>
      <w:r>
        <w:rPr>
          <w:rFonts w:ascii="Times New Roman" w:hAnsi="Times New Roman" w:cs="Times New Roman"/>
        </w:rPr>
        <w:t>争取更多上级资金投向新晃</w:t>
      </w:r>
      <w:r>
        <w:rPr>
          <w:rFonts w:ascii="Times New Roman" w:hAnsi="Times New Roman" w:cs="Times New Roman"/>
          <w:lang w:val="en-GB"/>
        </w:rPr>
        <w:t>。加强政府投资全生命周期管理，深化项目咨询论证，完善全要素服务保障机制，确保项目高质量落地见效。高标准、快速度完成县庆70周年重大项目建设。</w:t>
      </w:r>
    </w:p>
    <w:p>
      <w:pPr>
        <w:pStyle w:val="25"/>
        <w:ind w:firstLine="602"/>
        <w:rPr>
          <w:rFonts w:ascii="Times New Roman" w:hAnsi="Times New Roman" w:cs="Times New Roman"/>
          <w:lang w:val="en-GB"/>
        </w:rPr>
      </w:pPr>
      <w:r>
        <w:rPr>
          <w:rFonts w:ascii="Times New Roman" w:hAnsi="Times New Roman" w:eastAsia="楷体" w:cs="Times New Roman"/>
          <w:b/>
          <w:bCs/>
          <w:lang w:val="en-GB"/>
        </w:rPr>
        <w:t>释放民间投资潜力。</w:t>
      </w:r>
      <w:r>
        <w:rPr>
          <w:rFonts w:ascii="Times New Roman" w:hAnsi="Times New Roman" w:cs="Times New Roman"/>
          <w:lang w:val="en-GB"/>
        </w:rPr>
        <w:t>持续优化投资环境，支持民营企业担当产业发展主力军，引导民间资本投向主特产业延链补链、文旅康养、数字经济等前沿领域。严格执行公平竞争审查制度，保障各类市场主体平等参与。规范实施政府和社会资本合作新机制，在园区建设、污水处理、智慧城市等领域推广EOD等模式，向民间资本推介优质项目。鼓励民间资本通过盘活存量资产参与投资。建立常态化政企沟通和项目推介机制，深化政银企合作，探索设立支持民间投资的引导机制，合力破解融资瓶颈。切实保护民间投资合法权益，激发民间投资活力和潜力。</w:t>
      </w:r>
    </w:p>
    <w:p>
      <w:pPr>
        <w:pStyle w:val="25"/>
        <w:ind w:firstLine="602"/>
        <w:rPr>
          <w:rFonts w:ascii="Times New Roman" w:hAnsi="Times New Roman" w:cs="Times New Roman"/>
          <w:lang w:val="en-GB"/>
        </w:rPr>
      </w:pPr>
      <w:r>
        <w:rPr>
          <w:rFonts w:ascii="Times New Roman" w:hAnsi="Times New Roman" w:eastAsia="楷体" w:cs="Times New Roman"/>
          <w:b/>
          <w:bCs/>
          <w:lang w:val="en-GB"/>
        </w:rPr>
        <w:t>规范投资工作管理。</w:t>
      </w:r>
      <w:r>
        <w:rPr>
          <w:rFonts w:ascii="Times New Roman" w:hAnsi="Times New Roman" w:cs="Times New Roman"/>
          <w:lang w:val="en-GB"/>
        </w:rPr>
        <w:t>坚持“监管跟着项目和资金走”，完善覆盖政府投资项目全流程的管理制度。严格落实《政府投资条例》，健全科学、民主、高效的决策机制，确立高质量投资导向，配套建立投资绩效评估机制。严禁建设政绩工程、形象工程，杜绝无效和重复投资。规范政府投资项目管理，加强概算审核和审计监督。优化专项债券“借用管还”全生命周期管理，强化项目储备和资金使用监管。完善投资管理信息服务系统，实现在线监测与现场核查相结合的全流程穿透式监管，有效防范投资风险。</w:t>
      </w:r>
    </w:p>
    <w:p>
      <w:pPr>
        <w:pStyle w:val="25"/>
        <w:ind w:firstLine="602"/>
        <w:rPr>
          <w:rFonts w:ascii="Times New Roman" w:hAnsi="Times New Roman" w:cs="Times New Roman"/>
        </w:rPr>
      </w:pPr>
      <w:r>
        <w:rPr>
          <w:rFonts w:ascii="Times New Roman" w:hAnsi="Times New Roman" w:eastAsia="楷体" w:cs="Times New Roman"/>
          <w:b/>
          <w:bCs/>
          <w:lang w:val="en-GB"/>
        </w:rPr>
        <w:t>加大招商引资力度。</w:t>
      </w:r>
      <w:r>
        <w:rPr>
          <w:rFonts w:ascii="Times New Roman" w:hAnsi="Times New Roman" w:cs="Times New Roman"/>
        </w:rPr>
        <w:t>将招商引资作为扩大有效投资、培育产业动能的核心抓手。建立健全“主要领导带头招、专业队伍精准招、全员参与协同招”的大招商格局。瞄准长三角、粤港澳大湾区、成渝地区、贵州接边地区等重点区域，紧盯“三类500强”、行业龙头和隐形冠军企业，开展精准叩门招商。创新招商方式，强化以商招商、基金招商、飞地招商，积极参与国家级、省级重大经贸活动。完善全生命周期项目服务机制，从签约、落地到投产提供“一站式”保障，全力推动招商项目转化为有效投资、形成现实生产力。</w:t>
      </w:r>
    </w:p>
    <w:p>
      <w:pPr>
        <w:pStyle w:val="25"/>
        <w:ind w:firstLine="600"/>
        <w:rPr>
          <w:rFonts w:ascii="Times New Roman" w:hAnsi="Times New Roman" w:cs="Times New Roman"/>
        </w:rPr>
        <w:sectPr>
          <w:pgSz w:w="11906" w:h="16838"/>
          <w:pgMar w:top="1440" w:right="1800" w:bottom="1440" w:left="1800" w:header="851" w:footer="992" w:gutter="0"/>
          <w:pgNumType w:fmt="decimal"/>
          <w:cols w:space="425" w:num="1"/>
          <w:docGrid w:type="lines" w:linePitch="312" w:charSpace="0"/>
        </w:sectPr>
      </w:pPr>
    </w:p>
    <w:p>
      <w:pPr>
        <w:pStyle w:val="24"/>
        <w:numPr>
          <w:ilvl w:val="0"/>
          <w:numId w:val="1"/>
        </w:numPr>
      </w:pPr>
      <w:bookmarkStart w:id="158" w:name="_Toc216945838"/>
      <w:bookmarkStart w:id="159" w:name="OLE_LINK67"/>
      <w:bookmarkStart w:id="160" w:name="_Hlk214618415"/>
      <w:r>
        <w:t>夯实硬件基座 构筑安全韧性基础设施体系</w:t>
      </w:r>
      <w:bookmarkEnd w:id="158"/>
    </w:p>
    <w:bookmarkEnd w:id="159"/>
    <w:p>
      <w:pPr>
        <w:pStyle w:val="25"/>
        <w:ind w:firstLine="600"/>
        <w:rPr>
          <w:rFonts w:ascii="Times New Roman" w:hAnsi="Times New Roman" w:cs="Times New Roman"/>
        </w:rPr>
      </w:pPr>
      <w:r>
        <w:rPr>
          <w:rFonts w:ascii="Times New Roman" w:hAnsi="Times New Roman" w:cs="Times New Roman"/>
        </w:rPr>
        <w:t>遵循统筹规划、均衡布局、平等共享、适度超前的原则，聚焦关键领域和薄弱环节，通过优化布局、强化管理，系统推进水利、能源、交通、环卫等基础设施的提质升级。</w:t>
      </w:r>
    </w:p>
    <w:p>
      <w:pPr>
        <w:pStyle w:val="29"/>
        <w:numPr>
          <w:ilvl w:val="0"/>
          <w:numId w:val="10"/>
        </w:numPr>
        <w:rPr>
          <w:rFonts w:ascii="Times New Roman" w:hAnsi="Times New Roman" w:cs="Times New Roman"/>
          <w:lang w:val="en-GB"/>
        </w:rPr>
      </w:pPr>
      <w:bookmarkStart w:id="161" w:name="_Toc216945839"/>
      <w:r>
        <w:rPr>
          <w:rFonts w:ascii="Times New Roman" w:hAnsi="Times New Roman" w:cs="Times New Roman"/>
          <w:lang w:val="en-GB"/>
        </w:rPr>
        <w:t>构建内畅外联的综合交通网</w:t>
      </w:r>
      <w:bookmarkEnd w:id="161"/>
    </w:p>
    <w:p>
      <w:pPr>
        <w:pStyle w:val="25"/>
        <w:ind w:firstLine="600"/>
        <w:rPr>
          <w:rFonts w:ascii="Times New Roman" w:hAnsi="Times New Roman" w:cs="Times New Roman"/>
        </w:rPr>
      </w:pPr>
      <w:r>
        <w:rPr>
          <w:rFonts w:ascii="Times New Roman" w:hAnsi="Times New Roman" w:cs="Times New Roman"/>
        </w:rPr>
        <w:t>以构建畅通高效的现代综合交通运输体系为目标，加快补齐交通基础设施短板，进一步强化新晃的区位交通优势。</w:t>
      </w:r>
    </w:p>
    <w:p>
      <w:pPr>
        <w:pStyle w:val="25"/>
        <w:ind w:firstLine="602"/>
        <w:rPr>
          <w:rFonts w:ascii="Times New Roman" w:hAnsi="Times New Roman" w:cs="Times New Roman"/>
        </w:rPr>
      </w:pPr>
      <w:r>
        <w:rPr>
          <w:rFonts w:ascii="Times New Roman" w:hAnsi="Times New Roman" w:eastAsia="楷体" w:cs="Times New Roman"/>
          <w:b/>
          <w:lang w:val="en-GB"/>
        </w:rPr>
        <w:t>推进交通骨干网络重点项目建设。</w:t>
      </w:r>
      <w:r>
        <w:rPr>
          <w:rFonts w:ascii="Times New Roman" w:hAnsi="Times New Roman" w:cs="Times New Roman"/>
        </w:rPr>
        <w:t>围绕“三纵三横”公路主骨架规划，加快推进交通重点项目建设，进一步提高县域内外联通能力。完成G6512铜仁至天柱（</w:t>
      </w:r>
      <w:r>
        <w:rPr>
          <w:rFonts w:hint="eastAsia" w:ascii="Times New Roman" w:hAnsi="Times New Roman" w:cs="Times New Roman"/>
        </w:rPr>
        <w:t>新晃</w:t>
      </w:r>
      <w:r>
        <w:rPr>
          <w:rFonts w:ascii="Times New Roman" w:hAnsi="Times New Roman" w:cs="Times New Roman"/>
        </w:rPr>
        <w:t>段）高速建设，打通湖南西部与贵州东部的交通屏障。推进G320胜利大桥至沙湾大桥段一级公路升级改造，争取G320“两铁”（铜仁高铁南站、怀化新晃高铁西站）与“两园”（大新经济协作示范园、大新公铁联运物流园）改线列入规划。实施S335扶罗至凳寨界牌公路、S335米贝至扶罗公路提质改造，保障路网持续安全畅通。</w:t>
      </w:r>
    </w:p>
    <w:p>
      <w:pPr>
        <w:pStyle w:val="25"/>
        <w:ind w:firstLine="602"/>
        <w:rPr>
          <w:rFonts w:ascii="Times New Roman" w:hAnsi="Times New Roman" w:eastAsia="楷体" w:cs="Times New Roman"/>
          <w:b/>
          <w:lang w:val="en-GB"/>
        </w:rPr>
      </w:pPr>
      <w:r>
        <w:rPr>
          <w:rFonts w:ascii="Times New Roman" w:hAnsi="Times New Roman" w:eastAsia="楷体" w:cs="Times New Roman"/>
          <w:b/>
          <w:lang w:val="en-GB"/>
        </w:rPr>
        <w:t>推进农村公路“新三通”建设。</w:t>
      </w:r>
      <w:r>
        <w:rPr>
          <w:rFonts w:ascii="Times New Roman" w:hAnsi="Times New Roman" w:cs="Times New Roman"/>
        </w:rPr>
        <w:t>深入实施“四好农村路”建设，着力提升农村公路通达深度和服务广度。扎实推进行政村通双车道、资源产业路及窄路加宽工程，重点实施150公里农村公路建设与改造，完成晃州镇村组20公里道路硬化</w:t>
      </w:r>
      <w:r>
        <w:rPr>
          <w:rFonts w:ascii="Times New Roman" w:hAnsi="Times New Roman" w:cs="Times New Roman"/>
        </w:rPr>
        <w:tab/>
      </w:r>
      <w:r>
        <w:rPr>
          <w:rFonts w:ascii="Times New Roman" w:hAnsi="Times New Roman" w:cs="Times New Roman"/>
        </w:rPr>
        <w:t>、贡溪镇15公里产业路、米贝乡12公里和凉伞镇46公里组组通硬化路等建设任务。开展现有桥梁的危桥排查与改造工作，提升桥梁安全通行保障能力。加强农村公路与国省干线、重要产业园区、旅游景区的有效衔接，完善农村公路安全防护设施和标志标线。健全农村公路管理养护体制，落实县、乡、村三级路长制，实现农村公路建管养运协调发展。</w:t>
      </w:r>
    </w:p>
    <w:p>
      <w:pPr>
        <w:pStyle w:val="25"/>
        <w:ind w:firstLine="602"/>
        <w:rPr>
          <w:rFonts w:ascii="Times New Roman" w:hAnsi="Times New Roman" w:cs="Times New Roman"/>
        </w:rPr>
      </w:pPr>
      <w:r>
        <w:rPr>
          <w:rFonts w:ascii="Times New Roman" w:hAnsi="Times New Roman" w:eastAsia="楷体" w:cs="Times New Roman"/>
          <w:b/>
          <w:lang w:val="en-GB"/>
        </w:rPr>
        <w:t>建设城乡一体化的公共交通体系。</w:t>
      </w:r>
      <w:r>
        <w:rPr>
          <w:rFonts w:ascii="Times New Roman" w:hAnsi="Times New Roman" w:cs="Times New Roman"/>
        </w:rPr>
        <w:t>构建城际、城市、城乡、镇村四级客运网络，推动城乡客运与铁路、民航有效衔接。重点推进县城至禾滩镇公交专线开通运营，科学规划公交线路和站点布局，提高公交覆盖率和准点率。完成县城客运站提质建设，完善新晃高铁西站配套设施，加快物流通道、专用货场、停车场建设，增强综合运输能力。积极推进城乡客运一体化发展，合理发展城市出租车、网约车业务，科学规划和建设充电桩设施，推广使用新能源和清洁能源车辆，打造绿色公共交通系统。</w:t>
      </w:r>
    </w:p>
    <w:p>
      <w:pPr>
        <w:pStyle w:val="25"/>
        <w:ind w:firstLine="602"/>
        <w:rPr>
          <w:rFonts w:ascii="Times New Roman" w:hAnsi="Times New Roman" w:cs="Times New Roman"/>
        </w:rPr>
      </w:pPr>
      <w:r>
        <w:rPr>
          <w:rFonts w:ascii="Times New Roman" w:hAnsi="Times New Roman" w:eastAsia="楷体" w:cs="Times New Roman"/>
          <w:b/>
          <w:lang w:val="en-GB"/>
        </w:rPr>
        <w:t>推进通用机场与铁路专用线建设。</w:t>
      </w:r>
      <w:r>
        <w:rPr>
          <w:rFonts w:ascii="Times New Roman" w:hAnsi="Times New Roman" w:cs="Times New Roman"/>
        </w:rPr>
        <w:t>加快推进新晃通用机场建设，完善机场跑道、航站楼及相关配套设施，构建低空经济发展平台。推进怀化国际陆港·新晃港—大新公铁联运物流园铁路专用线建设，提质扩建新晃火车站货运场，提升铁路运输服务能力，建立健全多式联运运营组织机制，促进公铁空多种运输方式高效衔接，提高综合运输效率和服务水平。</w:t>
      </w:r>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25"/>
              <w:ind w:firstLine="0" w:firstLineChars="0"/>
              <w:jc w:val="center"/>
              <w:rPr>
                <w:rFonts w:ascii="Times New Roman" w:hAnsi="Times New Roman" w:cs="Times New Roman"/>
                <w:b/>
                <w:bCs/>
              </w:rPr>
            </w:pPr>
            <w:r>
              <w:rPr>
                <w:rFonts w:ascii="Times New Roman" w:hAnsi="Times New Roman" w:cs="Times New Roman"/>
                <w:b/>
                <w:bCs/>
              </w:rPr>
              <w:t>专栏十一：综合交通网络建设重大工程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46"/>
              <w:ind w:firstLine="562"/>
              <w:rPr>
                <w:rFonts w:ascii="Times New Roman" w:hAnsi="Times New Roman" w:cs="Times New Roman"/>
              </w:rPr>
            </w:pPr>
            <w:r>
              <w:rPr>
                <w:rFonts w:ascii="Times New Roman" w:hAnsi="Times New Roman" w:cs="Times New Roman"/>
                <w:b/>
              </w:rPr>
              <w:t>干线公路升级改造工程。</w:t>
            </w:r>
            <w:r>
              <w:rPr>
                <w:rFonts w:ascii="Times New Roman" w:hAnsi="Times New Roman" w:cs="Times New Roman"/>
              </w:rPr>
              <w:t>构建“三纵三横”骨干路网，三纵：G242、铜仁至天柱高速公路、S557；三横：沪昆高速、G320及绕城线、S335。提升主要通道通行能力，强化区域交通连接，支撑沿线乡镇经济发展。重点推进G6512铜仁至天柱（</w:t>
            </w:r>
            <w:r>
              <w:rPr>
                <w:rFonts w:hint="eastAsia" w:ascii="Times New Roman" w:hAnsi="Times New Roman" w:cs="Times New Roman"/>
              </w:rPr>
              <w:t>新晃</w:t>
            </w:r>
            <w:r>
              <w:rPr>
                <w:rFonts w:ascii="Times New Roman" w:hAnsi="Times New Roman" w:cs="Times New Roman"/>
              </w:rPr>
              <w:t>段）33公里，推进S335扶罗至凳寨段、S335米贝至扶罗段共76公里三级公路，实施G320胜利大桥至沙湾大桥段一级公路升级改造，争取G320全民健身中心—大树湾—汞矿—贵州罗家寨—鱼市工业园—玉铜高等级公路纳入项目规划建设，新建夜郎大峡谷至向家地文旅基地文旅产业路6公里。</w:t>
            </w:r>
          </w:p>
          <w:p>
            <w:pPr>
              <w:pStyle w:val="46"/>
              <w:ind w:firstLine="602"/>
              <w:rPr>
                <w:rFonts w:ascii="Times New Roman" w:hAnsi="Times New Roman" w:cs="Times New Roman"/>
                <w:b/>
                <w:sz w:val="30"/>
              </w:rPr>
            </w:pPr>
            <w:r>
              <w:rPr>
                <w:rFonts w:ascii="Times New Roman" w:hAnsi="Times New Roman" w:cs="Times New Roman"/>
                <w:b/>
                <w:sz w:val="30"/>
              </w:rPr>
              <w:t>农村公路通达</w:t>
            </w:r>
            <w:r>
              <w:rPr>
                <w:rFonts w:ascii="Times New Roman" w:hAnsi="Times New Roman" w:cs="Times New Roman"/>
                <w:b/>
              </w:rPr>
              <w:t>工程。</w:t>
            </w:r>
            <w:r>
              <w:rPr>
                <w:rFonts w:ascii="Times New Roman" w:hAnsi="Times New Roman" w:cs="Times New Roman"/>
                <w:bCs w:val="0"/>
              </w:rPr>
              <w:t>实施完成交通规划库中农村公路升级、提质改造工程297公里。完善新晃县境内新入库农村公路178公里安防设施建设。继续完成通组公路建设60公里，实现行政村组全部通硬化路目标，完善农村路网结构，服务乡村振兴战略。</w:t>
            </w:r>
          </w:p>
          <w:p>
            <w:pPr>
              <w:pStyle w:val="46"/>
              <w:ind w:firstLine="562"/>
              <w:rPr>
                <w:rFonts w:ascii="Times New Roman" w:hAnsi="Times New Roman" w:cs="Times New Roman"/>
                <w:b/>
              </w:rPr>
            </w:pPr>
            <w:r>
              <w:rPr>
                <w:rFonts w:ascii="Times New Roman" w:hAnsi="Times New Roman" w:cs="Times New Roman"/>
                <w:b/>
              </w:rPr>
              <w:t>客货运枢纽设施建设工程。</w:t>
            </w:r>
            <w:r>
              <w:rPr>
                <w:rFonts w:ascii="Times New Roman" w:hAnsi="Times New Roman" w:cs="Times New Roman"/>
              </w:rPr>
              <w:t>继续实施怀化国际陆港新晃大新公铁联运物流园建设，续建公交停保场建设，新建夜郎谷风景区和向家地风景区交通驿站，新建出租车服务中心，构建公铁水多式联运体系，提升物流枢纽功能和客运服务水平。</w:t>
            </w:r>
          </w:p>
          <w:p>
            <w:pPr>
              <w:pStyle w:val="46"/>
              <w:ind w:firstLine="562"/>
              <w:rPr>
                <w:rFonts w:ascii="Times New Roman" w:hAnsi="Times New Roman" w:cs="Times New Roman"/>
                <w:b/>
              </w:rPr>
            </w:pPr>
            <w:r>
              <w:rPr>
                <w:rFonts w:ascii="Times New Roman" w:hAnsi="Times New Roman" w:cs="Times New Roman"/>
                <w:b/>
              </w:rPr>
              <w:t>低空基础设施工程。</w:t>
            </w:r>
            <w:r>
              <w:rPr>
                <w:rFonts w:ascii="Times New Roman" w:hAnsi="Times New Roman" w:cs="Times New Roman"/>
              </w:rPr>
              <w:t>新建通用机场，包括跑道、停机坪、航站综合楼等设施，提升航空服务能力，支持旅游发展、应急救援和低空经济，构建立体交通网络。</w:t>
            </w:r>
          </w:p>
        </w:tc>
      </w:tr>
    </w:tbl>
    <w:p>
      <w:pPr>
        <w:pStyle w:val="29"/>
        <w:numPr>
          <w:ilvl w:val="0"/>
          <w:numId w:val="10"/>
        </w:numPr>
        <w:rPr>
          <w:rFonts w:ascii="Times New Roman" w:hAnsi="Times New Roman" w:cs="Times New Roman"/>
          <w:lang w:val="en-GB"/>
        </w:rPr>
      </w:pPr>
      <w:bookmarkStart w:id="162" w:name="_Toc216945840"/>
      <w:r>
        <w:rPr>
          <w:rFonts w:ascii="Times New Roman" w:hAnsi="Times New Roman" w:cs="Times New Roman"/>
          <w:lang w:val="en-GB"/>
        </w:rPr>
        <w:t>健全生态集约的水利安全网</w:t>
      </w:r>
      <w:bookmarkEnd w:id="162"/>
    </w:p>
    <w:p>
      <w:pPr>
        <w:pStyle w:val="25"/>
        <w:ind w:firstLine="600"/>
        <w:rPr>
          <w:rFonts w:ascii="Times New Roman" w:hAnsi="Times New Roman" w:cs="Times New Roman"/>
        </w:rPr>
      </w:pPr>
      <w:r>
        <w:rPr>
          <w:rFonts w:ascii="Times New Roman" w:hAnsi="Times New Roman" w:cs="Times New Roman"/>
        </w:rPr>
        <w:t>统筹推进水资源、水环境、水生态治理，重点围绕城乡供水、防洪排涝、农业灌溉三大领域补齐短板、提升效能。</w:t>
      </w:r>
    </w:p>
    <w:p>
      <w:pPr>
        <w:pStyle w:val="25"/>
        <w:ind w:firstLine="602"/>
        <w:rPr>
          <w:rFonts w:ascii="Times New Roman" w:hAnsi="Times New Roman" w:cs="Times New Roman"/>
        </w:rPr>
      </w:pPr>
      <w:r>
        <w:rPr>
          <w:rFonts w:ascii="Times New Roman" w:hAnsi="Times New Roman" w:eastAsia="楷体" w:cs="Times New Roman"/>
          <w:b/>
          <w:lang w:val="en-GB"/>
        </w:rPr>
        <w:t>推进农村供水“三化”建设及节水改造。</w:t>
      </w:r>
      <w:r>
        <w:rPr>
          <w:rFonts w:ascii="Times New Roman" w:hAnsi="Times New Roman" w:cs="Times New Roman"/>
        </w:rPr>
        <w:t>按照“城乡供水一体化、农村供水规模化、小型供水标准化”优化农村供水格局。重点推进姑召水厂、朝阳水厂和鱼市水厂建设。改造凉伞水厂、鱼市水厂、贡溪水厂，全面提升供水保障能力。建设野鸡河至朝阳引调水工程，优化水资源配置。大力实施节水行动，推动农业节水增效、工业节水减排与城镇节水降损，形成与水资源承载力相适应的集约用水体系。</w:t>
      </w:r>
    </w:p>
    <w:p>
      <w:pPr>
        <w:pStyle w:val="25"/>
        <w:ind w:firstLine="602"/>
        <w:rPr>
          <w:rFonts w:ascii="Times New Roman" w:hAnsi="Times New Roman" w:cs="Times New Roman"/>
        </w:rPr>
      </w:pPr>
      <w:r>
        <w:rPr>
          <w:rFonts w:ascii="Times New Roman" w:hAnsi="Times New Roman" w:eastAsia="楷体" w:cs="Times New Roman"/>
          <w:b/>
          <w:lang w:val="en-GB"/>
        </w:rPr>
        <w:t>提升防洪排涝减灾能力。</w:t>
      </w:r>
      <w:r>
        <w:rPr>
          <w:rFonts w:ascii="Times New Roman" w:hAnsi="Times New Roman" w:cs="Times New Roman"/>
        </w:rPr>
        <w:t>坚持“以防为主、防抗救相结合”的原则，聚焦“㵲水、平溪”等重点流域，构建“工程措施与非工程措施并举”的现代化防洪减灾体系。系统推进流域面积3000平方公里以上中小河流治理工程，加强中小河流治理和山洪灾害防治，实施河道清障、堤防加固、护岸建设等综合整治措施。全面完成新晃县中小型水库除险加固，消除存量安全隐患。扎实治理桂林溪等重点山洪沟，并配套建设山洪灾害非工程措施，加密监测站点，提升预警能力。推进农村水系综合整治及渠道清淤疏浚，健全防汛抗旱应急管理机制，完善应急预案体系，提升极端天气条件下的灾害防御和应急处置能力。</w:t>
      </w:r>
    </w:p>
    <w:p>
      <w:pPr>
        <w:pStyle w:val="25"/>
        <w:ind w:firstLine="602"/>
        <w:rPr>
          <w:rFonts w:ascii="Times New Roman" w:hAnsi="Times New Roman" w:cs="Times New Roman"/>
        </w:rPr>
      </w:pPr>
      <w:r>
        <w:rPr>
          <w:rFonts w:ascii="Times New Roman" w:hAnsi="Times New Roman" w:eastAsia="楷体" w:cs="Times New Roman"/>
          <w:b/>
          <w:lang w:val="en-GB"/>
        </w:rPr>
        <w:t>加快灌区现代化建设。</w:t>
      </w:r>
      <w:r>
        <w:rPr>
          <w:rFonts w:ascii="Times New Roman" w:hAnsi="Times New Roman" w:cs="Times New Roman"/>
        </w:rPr>
        <w:t>以保障粮食安全、发展高效节水农业为核心，全面推进中型灌区建设项目和续建配套与现代化改造。新建晃州中型灌区和凉伞中型灌区，续建配套与改造朝阳灌区。推进渠系节水改造、建筑物除险加固及计量设施配套。实施大田、杨家坳灌区续建配套工程，对全县小型农业水利设施与灌排泵站进行全面更新改造，推动灌区与高标准农田建设协同布局。加强智慧水利建设，在灌区与水库、水闸管理中引入数字孪生技术，打造“节水、生态、智慧、高效”的现代化灌区示范。健全灌区良性运行管护机制，明确管护主体，落实管护经费，确保工程长期发挥效益。依托水利工程形成的滨水空间，围绕“以水活城”科学布局建设项目，实现“水清、岸绿、河畅、景美”，推动水土保持与产业发展、生态旅游深度融合，拓展水利工程的综合质效。</w:t>
      </w:r>
    </w:p>
    <w:tbl>
      <w:tblPr>
        <w:tblStyle w:val="19"/>
        <w:tblW w:w="827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pPr>
              <w:pStyle w:val="25"/>
              <w:ind w:firstLine="0" w:firstLineChars="0"/>
              <w:jc w:val="center"/>
              <w:rPr>
                <w:rFonts w:ascii="Times New Roman" w:hAnsi="Times New Roman" w:cs="Times New Roman"/>
              </w:rPr>
            </w:pPr>
            <w:r>
              <w:rPr>
                <w:rFonts w:ascii="Times New Roman" w:hAnsi="Times New Roman" w:cs="Times New Roman"/>
                <w:b/>
                <w:bCs/>
              </w:rPr>
              <w:t>专栏十二：水利保障网络建设重大工程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pPr>
              <w:pStyle w:val="46"/>
              <w:ind w:firstLine="562"/>
              <w:rPr>
                <w:rFonts w:ascii="Times New Roman" w:hAnsi="Times New Roman" w:cs="Times New Roman"/>
              </w:rPr>
            </w:pPr>
            <w:r>
              <w:rPr>
                <w:rFonts w:ascii="Times New Roman" w:hAnsi="Times New Roman" w:cs="Times New Roman"/>
                <w:b/>
                <w:bCs w:val="0"/>
              </w:rPr>
              <w:t>骨干水源建设</w:t>
            </w:r>
            <w:r>
              <w:rPr>
                <w:rFonts w:ascii="Times New Roman" w:hAnsi="Times New Roman" w:cs="Times New Roman"/>
                <w:b/>
              </w:rPr>
              <w:t>工程。</w:t>
            </w:r>
            <w:r>
              <w:rPr>
                <w:rFonts w:ascii="Times New Roman" w:hAnsi="Times New Roman" w:cs="Times New Roman"/>
              </w:rPr>
              <w:t>新建岩板田小（一）型应急备用水库，推进朝阳水库水厂建设，实施扶罗龙塘水库扩容工程，推动大田中型水库及6座重点小（二）型水库除险加固，推进全县水库系统性清淤整治，构建完善的水源保障体系，增强水资源调控能力和战略储备。</w:t>
            </w:r>
          </w:p>
          <w:p>
            <w:pPr>
              <w:pStyle w:val="46"/>
              <w:ind w:firstLine="562"/>
              <w:rPr>
                <w:rFonts w:ascii="Times New Roman" w:hAnsi="Times New Roman" w:cs="Times New Roman"/>
              </w:rPr>
            </w:pPr>
            <w:r>
              <w:rPr>
                <w:rFonts w:ascii="Times New Roman" w:hAnsi="Times New Roman" w:cs="Times New Roman"/>
                <w:b/>
                <w:bCs w:val="0"/>
              </w:rPr>
              <w:t>防洪安全提升工程</w:t>
            </w:r>
            <w:r>
              <w:rPr>
                <w:rFonts w:ascii="Times New Roman" w:hAnsi="Times New Roman" w:cs="Times New Roman"/>
                <w:b/>
              </w:rPr>
              <w:t>。</w:t>
            </w:r>
            <w:r>
              <w:rPr>
                <w:rFonts w:ascii="Times New Roman" w:hAnsi="Times New Roman" w:cs="Times New Roman"/>
              </w:rPr>
              <w:t>系统推进流域面积3000平方公里以上中小河流㵲水新晃段防洪治理工程，分三段治理㵲水河长12.14公里，综合治理桂林溪等重点山洪沟，新建凉伞中型水闸和红星大型水闸，配套建设狮子岩水闸、大田水库安全监测设施，构筑坚实的流域防洪屏障。</w:t>
            </w:r>
          </w:p>
          <w:p>
            <w:pPr>
              <w:pStyle w:val="46"/>
              <w:ind w:firstLine="562"/>
              <w:rPr>
                <w:rFonts w:ascii="Times New Roman" w:hAnsi="Times New Roman" w:cs="Times New Roman"/>
              </w:rPr>
            </w:pPr>
            <w:r>
              <w:rPr>
                <w:rFonts w:ascii="Times New Roman" w:hAnsi="Times New Roman" w:cs="Times New Roman"/>
                <w:b/>
                <w:bCs w:val="0"/>
              </w:rPr>
              <w:t>农村供水保障工程</w:t>
            </w:r>
            <w:r>
              <w:rPr>
                <w:rFonts w:ascii="Times New Roman" w:hAnsi="Times New Roman" w:cs="Times New Roman"/>
                <w:b/>
              </w:rPr>
              <w:t>。</w:t>
            </w:r>
            <w:r>
              <w:rPr>
                <w:rFonts w:ascii="Times New Roman" w:hAnsi="Times New Roman" w:cs="Times New Roman"/>
              </w:rPr>
              <w:t>分两期推进农村供水保障工程，通过新建千吨万人水厂、新建和改造千人工程、百人工程及管网延伸，保障21.5万农村居民饮水安全；对21处农村供水工程进行标准化改造与信息化建设，确保工程长期稳定运行。</w:t>
            </w:r>
          </w:p>
          <w:p>
            <w:pPr>
              <w:pStyle w:val="46"/>
              <w:ind w:firstLine="562"/>
              <w:rPr>
                <w:rFonts w:ascii="Times New Roman" w:hAnsi="Times New Roman" w:cs="Times New Roman"/>
              </w:rPr>
            </w:pPr>
            <w:r>
              <w:rPr>
                <w:rFonts w:ascii="Times New Roman" w:hAnsi="Times New Roman" w:cs="Times New Roman"/>
                <w:b/>
                <w:bCs w:val="0"/>
              </w:rPr>
              <w:t>灌区配套与现代化改造工程。</w:t>
            </w:r>
            <w:r>
              <w:rPr>
                <w:rFonts w:ascii="Times New Roman" w:hAnsi="Times New Roman" w:cs="Times New Roman"/>
              </w:rPr>
              <w:t>建设湘黔水利设施共建共享示范区，实施晃州中型灌区和凉伞中型灌区建设项目，续建配套与现代化改造朝阳灌区，推进朝阳灌区31公里干渠改造，完成大田和杨家坳2处小型灌区续建配套，新建一批小型灌区，更新改造28座灌排泵站，打造节水高效农业示范区。</w:t>
            </w:r>
          </w:p>
          <w:p>
            <w:pPr>
              <w:pStyle w:val="46"/>
              <w:ind w:firstLine="562"/>
              <w:rPr>
                <w:rFonts w:ascii="Times New Roman" w:hAnsi="Times New Roman" w:cs="Times New Roman"/>
              </w:rPr>
            </w:pPr>
            <w:r>
              <w:rPr>
                <w:rFonts w:ascii="Times New Roman" w:hAnsi="Times New Roman" w:cs="Times New Roman"/>
                <w:b/>
                <w:bCs w:val="0"/>
              </w:rPr>
              <w:t>抗旱应急与水资源配置工程。</w:t>
            </w:r>
            <w:r>
              <w:rPr>
                <w:rFonts w:ascii="Times New Roman" w:hAnsi="Times New Roman" w:cs="Times New Roman"/>
              </w:rPr>
              <w:t>新建48处引调提水工程构建抗旱应急水源网络，实施野鸡河至朝阳引调水工程优化水资源空间配置，通过扩建山塘、新建拦溪坝等小型水源工程增强区域抗旱保供能力。</w:t>
            </w:r>
          </w:p>
          <w:p>
            <w:pPr>
              <w:pStyle w:val="46"/>
              <w:ind w:firstLine="562"/>
              <w:rPr>
                <w:rFonts w:ascii="Times New Roman" w:hAnsi="Times New Roman" w:cs="Times New Roman"/>
              </w:rPr>
            </w:pPr>
            <w:r>
              <w:rPr>
                <w:rFonts w:ascii="Times New Roman" w:hAnsi="Times New Roman" w:cs="Times New Roman"/>
                <w:b/>
                <w:bCs w:val="0"/>
              </w:rPr>
              <w:t>水生态保护与治理工程。</w:t>
            </w:r>
            <w:r>
              <w:rPr>
                <w:rFonts w:ascii="Times New Roman" w:hAnsi="Times New Roman" w:cs="Times New Roman"/>
              </w:rPr>
              <w:t>开展龙溪等8条河流农村水系综合整治（治理河长22.4公里），实施平溪幸福河湖建设，推进小水电改造和生态清洁小流域建设，改善水生态环境，完成平溪、野鸡河等河流生态修复。</w:t>
            </w:r>
          </w:p>
          <w:p>
            <w:pPr>
              <w:pStyle w:val="46"/>
              <w:ind w:firstLine="562"/>
              <w:rPr>
                <w:rFonts w:ascii="Times New Roman" w:hAnsi="Times New Roman" w:cs="Times New Roman"/>
              </w:rPr>
            </w:pPr>
            <w:r>
              <w:rPr>
                <w:rFonts w:ascii="Times New Roman" w:hAnsi="Times New Roman" w:cs="Times New Roman"/>
                <w:b/>
                <w:bCs w:val="0"/>
              </w:rPr>
              <w:t>智慧水利与节水社会建设。</w:t>
            </w:r>
            <w:r>
              <w:rPr>
                <w:rFonts w:ascii="Times New Roman" w:hAnsi="Times New Roman" w:cs="Times New Roman"/>
              </w:rPr>
              <w:t>构建水资源立体监测网络，推进㵲水数字孪生流域建设，对朝阳、大田等重点水利工程进行数字化改造，推进扶罗镇龙塘水库数字化改造；全面推进各领域节水改造，创建节水载体，加强水资源统一调度与管理，建设节水型社会，推进非常规水开发利用，围绕县城等重要集镇，开展非常规水利用项目建设。</w:t>
            </w:r>
          </w:p>
          <w:p>
            <w:pPr>
              <w:pStyle w:val="46"/>
              <w:ind w:firstLine="562"/>
              <w:rPr>
                <w:rFonts w:ascii="Times New Roman" w:hAnsi="Times New Roman" w:cs="Times New Roman"/>
              </w:rPr>
            </w:pPr>
            <w:r>
              <w:rPr>
                <w:rFonts w:ascii="Times New Roman" w:hAnsi="Times New Roman" w:cs="Times New Roman"/>
                <w:b/>
                <w:bCs w:val="0"/>
              </w:rPr>
              <w:t>水旅融合与综合开发工程。</w:t>
            </w:r>
            <w:r>
              <w:rPr>
                <w:rFonts w:ascii="Times New Roman" w:hAnsi="Times New Roman" w:cs="Times New Roman"/>
              </w:rPr>
              <w:t>建设绕城㵲水河多级坝体，实现“水清、岸绿、河畅、景美”，支持具有条件的乡村结合滨水廊道打造文旅节点。</w:t>
            </w:r>
          </w:p>
        </w:tc>
      </w:tr>
    </w:tbl>
    <w:p>
      <w:pPr>
        <w:pStyle w:val="29"/>
        <w:numPr>
          <w:ilvl w:val="0"/>
          <w:numId w:val="10"/>
        </w:numPr>
        <w:rPr>
          <w:rFonts w:ascii="Times New Roman" w:hAnsi="Times New Roman" w:cs="Times New Roman"/>
          <w:lang w:val="en-GB"/>
        </w:rPr>
      </w:pPr>
      <w:bookmarkStart w:id="163" w:name="_Toc216945841"/>
      <w:r>
        <w:rPr>
          <w:rFonts w:ascii="Times New Roman" w:hAnsi="Times New Roman" w:cs="Times New Roman"/>
          <w:lang w:val="en-GB"/>
        </w:rPr>
        <w:t>完善</w:t>
      </w:r>
      <w:bookmarkStart w:id="164" w:name="OLE_LINK38"/>
      <w:r>
        <w:rPr>
          <w:rFonts w:ascii="Times New Roman" w:hAnsi="Times New Roman" w:cs="Times New Roman"/>
          <w:lang w:val="en-GB"/>
        </w:rPr>
        <w:t>清洁低碳的能源保障</w:t>
      </w:r>
      <w:bookmarkEnd w:id="164"/>
      <w:r>
        <w:rPr>
          <w:rFonts w:ascii="Times New Roman" w:hAnsi="Times New Roman" w:cs="Times New Roman"/>
          <w:lang w:val="en-GB"/>
        </w:rPr>
        <w:t>网</w:t>
      </w:r>
      <w:bookmarkEnd w:id="163"/>
    </w:p>
    <w:p>
      <w:pPr>
        <w:pStyle w:val="25"/>
        <w:ind w:firstLine="600"/>
        <w:rPr>
          <w:rFonts w:ascii="Times New Roman" w:hAnsi="Times New Roman" w:cs="Times New Roman"/>
        </w:rPr>
      </w:pPr>
      <w:r>
        <w:rPr>
          <w:rFonts w:ascii="Times New Roman" w:hAnsi="Times New Roman" w:cs="Times New Roman"/>
        </w:rPr>
        <w:t>以能源安全保供和绿色低碳转型为核心，优化供电、油气、新能源结构，构建安全可靠、清洁高效、智慧协同的现代能源体系。</w:t>
      </w:r>
    </w:p>
    <w:p>
      <w:pPr>
        <w:pStyle w:val="25"/>
        <w:ind w:firstLine="602"/>
        <w:rPr>
          <w:rFonts w:ascii="Times New Roman" w:hAnsi="Times New Roman" w:cs="Times New Roman"/>
        </w:rPr>
      </w:pPr>
      <w:r>
        <w:rPr>
          <w:rFonts w:ascii="Times New Roman" w:hAnsi="Times New Roman" w:eastAsia="楷体" w:cs="Times New Roman"/>
          <w:b/>
          <w:lang w:val="en-GB"/>
        </w:rPr>
        <w:t>推进电网结构优化。</w:t>
      </w:r>
      <w:r>
        <w:rPr>
          <w:rFonts w:ascii="Times New Roman" w:hAnsi="Times New Roman" w:cs="Times New Roman"/>
        </w:rPr>
        <w:t>围绕构建“主网坚强、配网灵活、源网协同”的现代化电力体系目标，系统推进新晃电网主网与配网现代化建设。主网方面，重点实施波州、贡溪35千伏输变电，晃州至禾滩、凉伞110千伏线路等工程，根本性解决乡镇电网薄弱、单线单变等历史问题。配网方面，全面治理城乡配网线路设备老旧、高寒山区抗冰能力不足、末端低电压等问题，提升供电可靠性、电能质量和智能化水平，为全县经济社会发展提供坚强电力保障。建立健全电网安全风险防控体系，提高电网应对极端天气和自然灾害的能力。积极争取大新协作示范区实现跨省供电。</w:t>
      </w:r>
    </w:p>
    <w:p>
      <w:pPr>
        <w:pStyle w:val="25"/>
        <w:ind w:firstLine="602"/>
        <w:rPr>
          <w:rFonts w:ascii="Times New Roman" w:hAnsi="Times New Roman" w:cs="Times New Roman"/>
        </w:rPr>
      </w:pPr>
      <w:r>
        <w:rPr>
          <w:rFonts w:ascii="Times New Roman" w:hAnsi="Times New Roman" w:eastAsia="楷体" w:cs="Times New Roman"/>
          <w:b/>
          <w:lang w:val="en-GB"/>
        </w:rPr>
        <w:t>统筹油气基础设施布局。</w:t>
      </w:r>
      <w:r>
        <w:rPr>
          <w:rFonts w:ascii="Times New Roman" w:hAnsi="Times New Roman" w:cs="Times New Roman"/>
        </w:rPr>
        <w:t>推进主城区大型天然气长输管道支管建设，实现与“遵义—吉安”国家干线的连通，保障中心城区气源稳定。加快储气调峰设施建设，形成不低于保障本行政区域日均3天需求量的储气能力。加快燃气站场扩容扩建，提升液化天然气储备与调峰能力。完善城乡供气网络，在9个乡镇建设供气站及配套管网，提升乡镇燃气普及率。推进县城燃气支管延伸建设，实现城区居民小区全覆盖。强化全链条安全管理，完成液化石油气钢瓶更新与智能化改造。全面建成园区集中供气供热，为企业提供经济稳定的清洁能源与工业蒸汽。建立健全油气管道保护长效机制，确保能源输送安全。</w:t>
      </w:r>
    </w:p>
    <w:p>
      <w:pPr>
        <w:pStyle w:val="25"/>
        <w:ind w:firstLine="602"/>
        <w:rPr>
          <w:rFonts w:ascii="Times New Roman" w:hAnsi="Times New Roman" w:cs="Times New Roman"/>
        </w:rPr>
      </w:pPr>
      <w:r>
        <w:rPr>
          <w:rFonts w:ascii="Times New Roman" w:hAnsi="Times New Roman" w:eastAsia="楷体" w:cs="Times New Roman"/>
          <w:b/>
          <w:lang w:val="en-GB"/>
        </w:rPr>
        <w:t>积极开发新能源和可再生能源。</w:t>
      </w:r>
      <w:r>
        <w:rPr>
          <w:rFonts w:ascii="Times New Roman" w:hAnsi="Times New Roman" w:cs="Times New Roman"/>
        </w:rPr>
        <w:t>坚持集中式与分布式并举，加快太阳能、风能等清洁能源规模化、多元化开发利用。积极推动风能、蓄能等清洁能源规模化、多元化开发。规范发展光伏产业，探索农光互补、渔光互补等“新能源+”综合开发模式。鼓励发展新型储能产业，力争通过招商模式推动新晃县产业开发区储能电站（5MW/10MWh）及园区配套的20MWh储能系统项目建设，提升新能源消纳与电网稳定性。</w:t>
      </w:r>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25"/>
              <w:ind w:firstLine="0" w:firstLineChars="0"/>
              <w:jc w:val="center"/>
              <w:rPr>
                <w:rFonts w:ascii="Times New Roman" w:hAnsi="Times New Roman" w:cs="Times New Roman"/>
              </w:rPr>
            </w:pPr>
            <w:r>
              <w:rPr>
                <w:rFonts w:ascii="Times New Roman" w:hAnsi="Times New Roman" w:cs="Times New Roman"/>
                <w:b/>
                <w:bCs/>
              </w:rPr>
              <w:t>专栏十三：能源保障网络建设重大工程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46"/>
              <w:ind w:firstLine="562"/>
              <w:rPr>
                <w:rFonts w:ascii="Times New Roman" w:hAnsi="Times New Roman" w:cs="Times New Roman"/>
              </w:rPr>
            </w:pPr>
            <w:r>
              <w:rPr>
                <w:rFonts w:ascii="Times New Roman" w:hAnsi="Times New Roman" w:cs="Times New Roman"/>
                <w:b/>
                <w:bCs w:val="0"/>
              </w:rPr>
              <w:t>智慧储能与电网升级工程。</w:t>
            </w:r>
            <w:r>
              <w:rPr>
                <w:rFonts w:ascii="Times New Roman" w:hAnsi="Times New Roman" w:cs="Times New Roman"/>
              </w:rPr>
              <w:t>推进主网强化工程，新建波州、贡溪35千伏变电站，新建及改造晃州至禾滩、晃州至凉伞110千伏线路等骨干网架项目，提升电网主干输送能力和乡镇区域供电可靠性。推进配网升级工程，实施10千伏线路改造、台区增容改造、配网自动化终端建设等配电网项目275项，全面消除供电瓶颈和安全隐患，满足城乡负荷增长需求。</w:t>
            </w:r>
          </w:p>
          <w:p>
            <w:pPr>
              <w:pStyle w:val="46"/>
              <w:ind w:firstLine="562"/>
              <w:rPr>
                <w:rFonts w:ascii="Times New Roman" w:hAnsi="Times New Roman" w:cs="Times New Roman"/>
              </w:rPr>
            </w:pPr>
            <w:r>
              <w:rPr>
                <w:rFonts w:ascii="Times New Roman" w:hAnsi="Times New Roman" w:cs="Times New Roman"/>
                <w:b/>
                <w:bCs w:val="0"/>
              </w:rPr>
              <w:t>燃气供应体系建设工程。</w:t>
            </w:r>
            <w:r>
              <w:rPr>
                <w:rFonts w:ascii="Times New Roman" w:hAnsi="Times New Roman" w:cs="Times New Roman"/>
              </w:rPr>
              <w:t>实施县城燃气站场LNG储罐从50m³扩容至100m³，建设12公里主城区天然气长输支管及1座气门站，在全县9个乡镇新建管道燃气供气站及输配管网，延伸县城5个小区10公里燃气支管完成3000户入户安装，推进液化石油气钢瓶更新换代与智能化改造，构建“县城—乡镇—农村”三级燃气供应体系。</w:t>
            </w:r>
          </w:p>
          <w:p>
            <w:pPr>
              <w:pStyle w:val="46"/>
              <w:ind w:firstLine="562"/>
              <w:rPr>
                <w:rFonts w:ascii="Times New Roman" w:hAnsi="Times New Roman" w:cs="Times New Roman"/>
              </w:rPr>
            </w:pPr>
            <w:r>
              <w:rPr>
                <w:rFonts w:ascii="Times New Roman" w:hAnsi="Times New Roman" w:cs="Times New Roman"/>
                <w:b/>
                <w:bCs w:val="0"/>
              </w:rPr>
              <w:t>清洁能源发电工程。</w:t>
            </w:r>
            <w:r>
              <w:rPr>
                <w:rFonts w:ascii="Times New Roman" w:hAnsi="Times New Roman" w:cs="Times New Roman"/>
              </w:rPr>
              <w:t>按照规划推动风电开发，晃州镇公共建筑屋顶建设5MW分布式光伏电站，县城机关单位屋顶建设3MW分布式光伏电站，开发本地风光资源，形成多能互补的清洁能源发电格局，年发电量超1.6亿kWh。</w:t>
            </w:r>
          </w:p>
          <w:p>
            <w:pPr>
              <w:pStyle w:val="46"/>
              <w:ind w:firstLine="562"/>
              <w:rPr>
                <w:rFonts w:ascii="Times New Roman" w:hAnsi="Times New Roman" w:cs="Times New Roman"/>
              </w:rPr>
            </w:pPr>
            <w:r>
              <w:rPr>
                <w:rFonts w:ascii="Times New Roman" w:hAnsi="Times New Roman" w:cs="Times New Roman"/>
                <w:b/>
                <w:bCs w:val="0"/>
              </w:rPr>
              <w:t>能源消费基础设施工程。</w:t>
            </w:r>
            <w:r>
              <w:rPr>
                <w:rFonts w:ascii="Times New Roman" w:hAnsi="Times New Roman" w:cs="Times New Roman"/>
              </w:rPr>
              <w:t>全县8个乡镇布局80个公共充电桩，在产业开发区建设200个公共充电桩及100个企业专用充电桩。针对现有停车场完善充电设施建设，加大小区集中充电桩建设力度，力争完成80%小区充电桩的安装。配套建设充电棚及供电设施，构建覆盖城乡的新能源汽车充电服务网络，新建新能源重卡充停一体化设备，支撑绿色出行和绿色物流发展。</w:t>
            </w:r>
          </w:p>
          <w:p>
            <w:pPr>
              <w:pStyle w:val="46"/>
              <w:ind w:firstLine="562"/>
              <w:rPr>
                <w:rFonts w:ascii="Times New Roman" w:hAnsi="Times New Roman" w:cs="Times New Roman"/>
              </w:rPr>
            </w:pPr>
            <w:r>
              <w:rPr>
                <w:rFonts w:ascii="Times New Roman" w:hAnsi="Times New Roman" w:cs="Times New Roman"/>
                <w:b/>
                <w:bCs w:val="0"/>
              </w:rPr>
              <w:t>清洁能源产业园区工程。</w:t>
            </w:r>
            <w:r>
              <w:rPr>
                <w:rFonts w:ascii="Times New Roman" w:hAnsi="Times New Roman" w:cs="Times New Roman"/>
              </w:rPr>
              <w:t>全面建成园区LNG储配站、天然气门站及40t/h燃气锅炉站房，配套建设中压燃气管网及蒸汽管网，建设5MW/10MWh电化学储能电站，配套建设20MWh储能系统，打造“新能源+储能”一体化绿色供电基地，为入园企业提供稳定经济的清洁能源。</w:t>
            </w:r>
          </w:p>
          <w:p>
            <w:pPr>
              <w:pStyle w:val="46"/>
              <w:ind w:firstLine="562"/>
              <w:rPr>
                <w:rFonts w:ascii="Times New Roman" w:hAnsi="Times New Roman" w:cs="Times New Roman"/>
              </w:rPr>
            </w:pPr>
            <w:r>
              <w:rPr>
                <w:rFonts w:ascii="Times New Roman" w:hAnsi="Times New Roman" w:cs="Times New Roman"/>
                <w:b/>
                <w:bCs w:val="0"/>
              </w:rPr>
              <w:t>能源系统提质增效工程。</w:t>
            </w:r>
            <w:r>
              <w:rPr>
                <w:rFonts w:ascii="Times New Roman" w:hAnsi="Times New Roman" w:cs="Times New Roman"/>
              </w:rPr>
              <w:t>推进智慧燃气系统建设，实施农村电网改造，更新换代液化石油气钢瓶并推进智能化改造，全面提升能源系统的安全性、可靠性和运行效率。</w:t>
            </w:r>
          </w:p>
        </w:tc>
      </w:tr>
    </w:tbl>
    <w:p>
      <w:pPr>
        <w:pStyle w:val="29"/>
        <w:numPr>
          <w:ilvl w:val="0"/>
          <w:numId w:val="10"/>
        </w:numPr>
        <w:rPr>
          <w:rFonts w:ascii="Times New Roman" w:hAnsi="Times New Roman" w:cs="Times New Roman"/>
          <w:lang w:val="en-GB"/>
        </w:rPr>
      </w:pPr>
      <w:bookmarkStart w:id="165" w:name="_Toc216945842"/>
      <w:r>
        <w:rPr>
          <w:rFonts w:ascii="Times New Roman" w:hAnsi="Times New Roman" w:cs="Times New Roman"/>
          <w:lang w:val="en-GB"/>
        </w:rPr>
        <w:t>布局智能融合的现代数字网</w:t>
      </w:r>
      <w:bookmarkEnd w:id="165"/>
    </w:p>
    <w:p>
      <w:pPr>
        <w:pStyle w:val="25"/>
        <w:ind w:firstLine="600"/>
        <w:rPr>
          <w:rFonts w:ascii="Times New Roman" w:hAnsi="Times New Roman" w:cs="Times New Roman"/>
        </w:rPr>
      </w:pPr>
      <w:r>
        <w:rPr>
          <w:rFonts w:ascii="Times New Roman" w:hAnsi="Times New Roman" w:cs="Times New Roman"/>
        </w:rPr>
        <w:t>以新一代信息技术为支撑，统筹推进通信网络、算力设施、传统基础设施数字化升级和公共平台建设，构建覆盖全域、云网协同、智慧赋能的数字基础设施体系。</w:t>
      </w:r>
    </w:p>
    <w:p>
      <w:pPr>
        <w:pStyle w:val="25"/>
        <w:ind w:firstLine="602"/>
        <w:rPr>
          <w:rFonts w:ascii="Times New Roman" w:hAnsi="Times New Roman" w:cs="Times New Roman"/>
        </w:rPr>
      </w:pPr>
      <w:r>
        <w:rPr>
          <w:rFonts w:ascii="Times New Roman" w:hAnsi="Times New Roman" w:eastAsia="楷体" w:cs="Times New Roman"/>
          <w:b/>
          <w:lang w:val="en-GB"/>
        </w:rPr>
        <w:t>升级通信网络基础设施。</w:t>
      </w:r>
      <w:r>
        <w:rPr>
          <w:rFonts w:ascii="Times New Roman" w:hAnsi="Times New Roman" w:cs="Times New Roman"/>
        </w:rPr>
        <w:t>秉持适度超前理念，注重均衡合理布局，实现全域有效覆盖，着力升级新一代信息通信基础设施。深入推进“双千兆”网络建设，持续扩大5G基站覆盖范围，新建5G基站100个、扩建60个，实现城区、乡镇重点区域及景区5G网络连续覆盖。加快光纤网络扩容提速，推动千兆光网向行政村和自然村延伸，消除数字鸿沟。加强通信网络设施共建共享，提高资源利用效率。同步推进物联网（IoT）在农业、环保、交通等领域的规模化部署，构建空天地一体化的泛在通信网络。建立健全网络与信息安全保障体系，提升关键信息基础设施防护能力。</w:t>
      </w:r>
    </w:p>
    <w:p>
      <w:pPr>
        <w:pStyle w:val="25"/>
        <w:ind w:firstLine="602"/>
        <w:rPr>
          <w:rFonts w:ascii="Times New Roman" w:hAnsi="Times New Roman" w:cs="Times New Roman"/>
        </w:rPr>
      </w:pPr>
      <w:r>
        <w:rPr>
          <w:rFonts w:ascii="Times New Roman" w:hAnsi="Times New Roman" w:eastAsia="楷体" w:cs="Times New Roman"/>
          <w:b/>
          <w:lang w:val="en-GB"/>
        </w:rPr>
        <w:t>布局算力与数据平台设施。</w:t>
      </w:r>
      <w:r>
        <w:rPr>
          <w:rFonts w:ascii="Times New Roman" w:hAnsi="Times New Roman" w:cs="Times New Roman"/>
        </w:rPr>
        <w:t>围绕集约化发展、云网端协同、数据要素驱动的目标，系统构建算力基础设施体系。合理布局边缘计算节点，推动计算能力向园区、乡镇下沉。升级县级大数据平台，重点建设智慧农业大数据平台、中药材市场数字化平台、水资源监测平台等，为行业管理提供高效算力支撑与数据服务。建立完善数据资源管理体系，推动公共数据资源共享开放和社会数据资源融合应用。推进数据资源集约化管理和共享开放，为智慧应用提供高效算力支撑和存储保障。推进新晃产业开发区工业互联网平台建设，服务园区企业数字化升级。培育数据要素市场，探索建立数据资产评估、登记结算、交易流通等机制。</w:t>
      </w:r>
    </w:p>
    <w:p>
      <w:pPr>
        <w:pStyle w:val="25"/>
        <w:ind w:firstLine="602"/>
        <w:rPr>
          <w:rFonts w:ascii="Times New Roman" w:hAnsi="Times New Roman" w:cs="Times New Roman"/>
        </w:rPr>
      </w:pPr>
      <w:r>
        <w:rPr>
          <w:rFonts w:ascii="Times New Roman" w:hAnsi="Times New Roman" w:eastAsia="楷体" w:cs="Times New Roman"/>
          <w:b/>
          <w:lang w:val="en-GB"/>
        </w:rPr>
        <w:t>推进传统基础设施数字化。</w:t>
      </w:r>
      <w:r>
        <w:rPr>
          <w:rFonts w:ascii="Times New Roman" w:hAnsi="Times New Roman" w:cs="Times New Roman"/>
        </w:rPr>
        <w:t>系统推进交通、能源、水利、市政等传统基础设施智能化升级和融合改造。市政领域，实施公共照明设备更新改造，建设智慧路灯管理系统；推进地下管线数字化管理，建设城市地下基础设施信息平台。能源领域，完成老旧燃气管网改造及智慧燃气建设，构建智能燃气管网；建设智能电网，提升能源系统智能化水平。水利领域，高标准实施数字孪生流域与数字孪生工程建设，打造“智慧水利”核心能力；构建水利感知网络，提升水利智能化管理水平。交通领域，建成智慧停车场并接入城市管理系统，提升静态交通智能化水平。加强各类基础设施数字化项目的统筹规划和协同建设，避免重复投资和资源浪费。</w:t>
      </w:r>
    </w:p>
    <w:p>
      <w:pPr>
        <w:pStyle w:val="25"/>
        <w:ind w:firstLine="602"/>
        <w:rPr>
          <w:rFonts w:ascii="Times New Roman" w:hAnsi="Times New Roman" w:cs="Times New Roman"/>
        </w:rPr>
      </w:pPr>
      <w:r>
        <w:rPr>
          <w:rFonts w:ascii="Times New Roman" w:hAnsi="Times New Roman" w:eastAsia="楷体" w:cs="Times New Roman"/>
          <w:b/>
          <w:lang w:val="en-GB"/>
        </w:rPr>
        <w:t>建设智慧平台与应用支撑体系。</w:t>
      </w:r>
      <w:r>
        <w:rPr>
          <w:rFonts w:ascii="Times New Roman" w:hAnsi="Times New Roman" w:cs="Times New Roman"/>
        </w:rPr>
        <w:t>以提升治理效能和服务水平为核心目标，系统推进智慧平台与应用支撑体系建设。全面建成“一网统管”基础平台，整合构建新晃全域智慧管理平台与国土空间智慧管理平台，形成城乡治理的统一数字底座。持续深化“一网通办”改革，推动政务服务线上线下深度融合。统筹布局行业级智慧应用平台，重点推进县紧密型县域医共体信息化平台、智慧养老服务平台、中药材市场数字化平台、黄牛产业溯源系统建设，深化教育数字化建设工程。积极推动数字技术在民生领域的深度融合应用，切实增强人民群众获得感。集成建设数字园区，配套智慧安全监管系统与危化品运输跟踪系统，实现对园区运行管理的全面智慧赋能。加强数字档案馆建设，完成传统载体档案数字化工作，推进档案管理省市县一体化平台建设。进一步建立健全数字技术创新体系，加强关键软件研发和应用推广。通过平台体系的整合建设，为智慧农业、智慧旅游、智慧园区等应用场景提供一体化支撑。完善数字素养与技能培育体系，全面提升全民数字化适应力、胜任力与创造力。</w:t>
      </w:r>
    </w:p>
    <w:p>
      <w:pPr>
        <w:pStyle w:val="29"/>
        <w:numPr>
          <w:ilvl w:val="0"/>
          <w:numId w:val="10"/>
        </w:numPr>
        <w:rPr>
          <w:rFonts w:ascii="Times New Roman" w:hAnsi="Times New Roman" w:cs="Times New Roman"/>
          <w:lang w:val="en-GB"/>
        </w:rPr>
      </w:pPr>
      <w:bookmarkStart w:id="166" w:name="_Toc216945843"/>
      <w:r>
        <w:rPr>
          <w:rFonts w:ascii="Times New Roman" w:hAnsi="Times New Roman" w:cs="Times New Roman"/>
          <w:lang w:val="en-GB"/>
        </w:rPr>
        <w:t>升级高效畅通的全域物流网</w:t>
      </w:r>
      <w:bookmarkEnd w:id="166"/>
    </w:p>
    <w:p>
      <w:pPr>
        <w:pStyle w:val="25"/>
        <w:ind w:firstLine="600"/>
        <w:rPr>
          <w:rFonts w:ascii="Times New Roman" w:hAnsi="Times New Roman" w:cs="Times New Roman"/>
        </w:rPr>
      </w:pPr>
      <w:r>
        <w:rPr>
          <w:rFonts w:ascii="Times New Roman" w:hAnsi="Times New Roman" w:cs="Times New Roman"/>
        </w:rPr>
        <w:t>以畅通货物流通、助力企业降本增效为目标，统筹推进物流枢纽、冷链体系、城乡配送网络和智慧物流平台建设，构建内外联通、城乡融合、高效绿色的现代物流体系。</w:t>
      </w:r>
    </w:p>
    <w:p>
      <w:pPr>
        <w:pStyle w:val="25"/>
        <w:ind w:firstLine="602"/>
        <w:rPr>
          <w:rFonts w:ascii="Times New Roman" w:hAnsi="Times New Roman" w:cs="Times New Roman"/>
        </w:rPr>
      </w:pPr>
      <w:r>
        <w:rPr>
          <w:rFonts w:ascii="Times New Roman" w:hAnsi="Times New Roman" w:eastAsia="楷体" w:cs="Times New Roman"/>
          <w:b/>
          <w:lang w:val="en-GB"/>
        </w:rPr>
        <w:t>补齐冷链与专业仓储设施短板。</w:t>
      </w:r>
      <w:r>
        <w:rPr>
          <w:rFonts w:ascii="Times New Roman" w:hAnsi="Times New Roman" w:cs="Times New Roman"/>
        </w:rPr>
        <w:t>在县级层面，重点建设五省边区农产品冷链物流枢纽（5万吨级冷库）与新晃县农产品仓储保鲜冷链物流一体化项目（万吨级核心冷库），提升跨区域冷链流通能力。合理规划布局气调库、冷藏库、冷冻库等设施，满足不同品类仓储需求。产业开发区配套建设武陵山片区农副食品冷链物流中心，服务加工企业。在流通端，通过新晃县农产品加工流通体系建设项目与县乡村三级物流配送体系建设，在乡镇和产地布局中转站与保鲜点，最终形成“枢纽中心库+园区专业库+乡镇中转站+村级保鲜点”的四级冷链仓储网络。</w:t>
      </w:r>
    </w:p>
    <w:p>
      <w:pPr>
        <w:pStyle w:val="25"/>
        <w:ind w:firstLine="602"/>
        <w:rPr>
          <w:rFonts w:ascii="Times New Roman" w:hAnsi="Times New Roman" w:cs="Times New Roman"/>
        </w:rPr>
      </w:pPr>
      <w:r>
        <w:rPr>
          <w:rFonts w:ascii="Times New Roman" w:hAnsi="Times New Roman" w:eastAsia="楷体" w:cs="Times New Roman"/>
          <w:b/>
          <w:lang w:val="en-GB"/>
        </w:rPr>
        <w:t>实现城乡配送网络全覆盖。</w:t>
      </w:r>
      <w:r>
        <w:rPr>
          <w:rFonts w:ascii="Times New Roman" w:hAnsi="Times New Roman" w:cs="Times New Roman"/>
        </w:rPr>
        <w:t>优化县域城乡物流网点布局，构建层级清晰、功能互补、衔接顺畅的城乡物流配送体系。在县城建设标准化公共配送中心，在晃州、凉伞、扶罗等重点镇建设乡镇物流中转站，在行政村广泛设立快递服务点或电商服务站。创新城乡配送组织模式，发展共同配送、集中配送、夜间配送等先进方式。整合交通、邮政、供销等资源，开通城乡货运公交、定时+定制班线，打通农产品进城“最初一公里”和工业品下乡“最后一公里”。健全农村物流服务网络运营保障机制，确保服务可持续、运营有效益。</w:t>
      </w:r>
    </w:p>
    <w:p>
      <w:pPr>
        <w:pStyle w:val="25"/>
        <w:ind w:firstLine="602"/>
        <w:rPr>
          <w:rFonts w:ascii="Times New Roman" w:hAnsi="Times New Roman" w:cs="Times New Roman"/>
        </w:rPr>
      </w:pPr>
      <w:r>
        <w:rPr>
          <w:rFonts w:ascii="Times New Roman" w:hAnsi="Times New Roman" w:eastAsia="楷体" w:cs="Times New Roman"/>
          <w:b/>
          <w:lang w:val="en-GB"/>
        </w:rPr>
        <w:t>提升智慧物流平台运行效能。</w:t>
      </w:r>
      <w:r>
        <w:rPr>
          <w:rFonts w:ascii="Times New Roman" w:hAnsi="Times New Roman" w:cs="Times New Roman"/>
        </w:rPr>
        <w:t>加快推进物流数字化转型，建设智慧高效、数据驱动的现代物流运营体系。加快建设县智慧物流信息平台，实现订单、仓储、运输全程数字化管理。推动物流平台与产业互联网、消费互联网平台互联互通，促进供应链上下游数据共享和业务协同。推广应用智能仓储、无人配送等智慧物流装备技术，提升物流作业自动化水平。建立物流大数据分析决策系统，为政府监管和企业经营提供数据支撑。</w:t>
      </w:r>
    </w:p>
    <w:p>
      <w:pPr>
        <w:pStyle w:val="25"/>
        <w:ind w:firstLine="602"/>
        <w:rPr>
          <w:rFonts w:ascii="Times New Roman" w:hAnsi="Times New Roman" w:cs="Times New Roman"/>
        </w:rPr>
      </w:pPr>
      <w:r>
        <w:rPr>
          <w:rFonts w:ascii="Times New Roman" w:hAnsi="Times New Roman" w:eastAsia="楷体" w:cs="Times New Roman"/>
          <w:b/>
          <w:bCs/>
        </w:rPr>
        <w:t>打造区域性低成本物流枢纽品牌</w:t>
      </w:r>
      <w:r>
        <w:rPr>
          <w:rFonts w:ascii="Times New Roman" w:hAnsi="Times New Roman" w:eastAsia="楷体" w:cs="Times New Roman"/>
        </w:rPr>
        <w:t>。</w:t>
      </w:r>
      <w:r>
        <w:rPr>
          <w:rFonts w:ascii="Times New Roman" w:hAnsi="Times New Roman" w:cs="Times New Roman"/>
        </w:rPr>
        <w:t>充分发挥新晃物流枢纽的快速集散优势，创新物流网络组织与集装配送模式，着力打造配送高效、收费低廉的区域性“低成本物流”品牌，使其成为辐射“两省三市十县”的重要中转枢纽，有效吸引贵州东部地区的工业产品、特色农产品等货流向东经新晃集散分拨。</w:t>
      </w:r>
    </w:p>
    <w:bookmarkEnd w:id="160"/>
    <w:p>
      <w:pPr>
        <w:pStyle w:val="24"/>
        <w:numPr>
          <w:ilvl w:val="0"/>
          <w:numId w:val="1"/>
        </w:numPr>
      </w:pPr>
      <w:r>
        <w:br w:type="page"/>
      </w:r>
    </w:p>
    <w:p>
      <w:pPr>
        <w:pStyle w:val="24"/>
      </w:pPr>
      <w:bookmarkStart w:id="167" w:name="_Toc216945844"/>
      <w:r>
        <w:t>第九章 始终突出民生 打造全年龄友好幸福新晃</w:t>
      </w:r>
      <w:bookmarkEnd w:id="167"/>
    </w:p>
    <w:p>
      <w:pPr>
        <w:pStyle w:val="25"/>
        <w:ind w:firstLine="600"/>
        <w:rPr>
          <w:rFonts w:ascii="Times New Roman" w:hAnsi="Times New Roman" w:cs="Times New Roman"/>
        </w:rPr>
      </w:pPr>
      <w:r>
        <w:rPr>
          <w:rFonts w:ascii="Times New Roman" w:hAnsi="Times New Roman" w:cs="Times New Roman"/>
        </w:rPr>
        <w:t>牢固树立以人民为中心的发展思想，增强感知群众需求变化能力，着力解决群众各项急难愁盼问题，不断增强人民群众的获得感、幸福感、安全感。</w:t>
      </w:r>
    </w:p>
    <w:p>
      <w:pPr>
        <w:pStyle w:val="29"/>
        <w:numPr>
          <w:ilvl w:val="0"/>
          <w:numId w:val="11"/>
        </w:numPr>
        <w:rPr>
          <w:rFonts w:ascii="Times New Roman" w:hAnsi="Times New Roman" w:cs="Times New Roman"/>
          <w:lang w:val="en-GB"/>
        </w:rPr>
      </w:pPr>
      <w:bookmarkStart w:id="168" w:name="_Toc216945845"/>
      <w:r>
        <w:rPr>
          <w:rFonts w:ascii="Times New Roman" w:hAnsi="Times New Roman" w:cs="Times New Roman"/>
          <w:lang w:val="en-GB"/>
        </w:rPr>
        <w:t>强化就业优先促进充分就业</w:t>
      </w:r>
      <w:bookmarkEnd w:id="168"/>
    </w:p>
    <w:p>
      <w:pPr>
        <w:pStyle w:val="25"/>
        <w:ind w:firstLine="600"/>
        <w:rPr>
          <w:rFonts w:ascii="Times New Roman" w:hAnsi="Times New Roman" w:cs="Times New Roman"/>
        </w:rPr>
      </w:pPr>
      <w:r>
        <w:rPr>
          <w:rFonts w:ascii="Times New Roman" w:hAnsi="Times New Roman" w:cs="Times New Roman"/>
        </w:rPr>
        <w:t>深入实施就业优先战略，优化就业创业环境，不断提升实际收入水平，使广大群众就业更加充分、工作更加体面、生活更有尊严。</w:t>
      </w:r>
    </w:p>
    <w:p>
      <w:pPr>
        <w:pStyle w:val="25"/>
        <w:ind w:firstLine="602"/>
        <w:rPr>
          <w:rFonts w:ascii="Times New Roman" w:hAnsi="Times New Roman" w:cs="Times New Roman"/>
        </w:rPr>
      </w:pPr>
      <w:r>
        <w:rPr>
          <w:rFonts w:ascii="Times New Roman" w:hAnsi="Times New Roman" w:eastAsia="楷体" w:cs="Times New Roman"/>
          <w:b/>
          <w:bCs/>
          <w:lang w:val="en-GB"/>
        </w:rPr>
        <w:t>落实落细就业优先政策。</w:t>
      </w:r>
      <w:r>
        <w:rPr>
          <w:rFonts w:ascii="Times New Roman" w:hAnsi="Times New Roman" w:cs="Times New Roman"/>
          <w:lang w:val="en-GB"/>
        </w:rPr>
        <w:t>健全高质量充分就业促进机制，</w:t>
      </w:r>
      <w:r>
        <w:rPr>
          <w:rFonts w:ascii="Times New Roman" w:hAnsi="Times New Roman" w:cs="Times New Roman"/>
        </w:rPr>
        <w:t>加强产业和就业协同，积极培育新职业新岗位，支持企业稳岗扩岗，努力增加就业岗位供给</w:t>
      </w:r>
      <w:r>
        <w:rPr>
          <w:rFonts w:ascii="Times New Roman" w:hAnsi="Times New Roman" w:cs="Times New Roman"/>
          <w:lang w:val="en-GB"/>
        </w:rPr>
        <w:t>。创新服务模式，搭建就业智慧服务平台，</w:t>
      </w:r>
      <w:r>
        <w:rPr>
          <w:rFonts w:ascii="Times New Roman" w:hAnsi="Times New Roman" w:cs="Times New Roman"/>
        </w:rPr>
        <w:t>及时发布就业信息，定期开展招聘活动，更好地为求职者提供精准暖心的就业服务</w:t>
      </w:r>
      <w:r>
        <w:rPr>
          <w:rFonts w:ascii="Times New Roman" w:hAnsi="Times New Roman" w:cs="Times New Roman"/>
          <w:lang w:val="en-GB"/>
        </w:rPr>
        <w:t>。健全跨区域劳务协作机制，拓宽农村劳动力转移就业渠道。推行“就业服务专员”制度，重点做好高校毕业生、退役军人、脱贫人口、就业困难人员和退捕禁捕渔民就业帮扶，保持“零就业家庭”动态清零。建立失业动态监测预警机制，防范化解规模性失业风险。</w:t>
      </w:r>
      <w:r>
        <w:rPr>
          <w:rFonts w:ascii="Times New Roman" w:hAnsi="Times New Roman" w:cs="Times New Roman"/>
        </w:rPr>
        <w:t>加强劳动者权益保护，构建和谐劳动关系。</w:t>
      </w:r>
    </w:p>
    <w:p>
      <w:pPr>
        <w:pStyle w:val="25"/>
        <w:ind w:firstLine="602"/>
        <w:rPr>
          <w:rFonts w:ascii="Times New Roman" w:hAnsi="Times New Roman" w:cs="Times New Roman"/>
        </w:rPr>
      </w:pPr>
      <w:r>
        <w:rPr>
          <w:rFonts w:ascii="Times New Roman" w:hAnsi="Times New Roman" w:eastAsia="楷体" w:cs="Times New Roman"/>
          <w:b/>
          <w:bCs/>
          <w:lang w:val="en-GB"/>
        </w:rPr>
        <w:t>全面提升劳动者职业技能。</w:t>
      </w:r>
      <w:r>
        <w:rPr>
          <w:rFonts w:ascii="Times New Roman" w:hAnsi="Times New Roman" w:cs="Times New Roman"/>
          <w:lang w:val="en-GB"/>
        </w:rPr>
        <w:t>健全终身职业技能培训制度，构建资源充足、布局合理、结构优化、载体多元的培训组织实施体系。推动校企合建实训基地，打造电工电路、智能制造</w:t>
      </w:r>
      <w:r>
        <w:rPr>
          <w:rFonts w:ascii="Times New Roman" w:hAnsi="Times New Roman" w:cs="Times New Roman"/>
        </w:rPr>
        <w:t>、家政服务、康养托育、电商直播、厨师厨艺、非遗传承、传统手艺</w:t>
      </w:r>
      <w:r>
        <w:rPr>
          <w:rFonts w:ascii="Times New Roman" w:hAnsi="Times New Roman" w:cs="Times New Roman"/>
          <w:lang w:val="en-GB"/>
        </w:rPr>
        <w:t>等多工种实训功能于一体的综合性实训平台</w:t>
      </w:r>
      <w:r>
        <w:rPr>
          <w:rFonts w:ascii="Times New Roman" w:hAnsi="Times New Roman" w:cs="Times New Roman"/>
        </w:rPr>
        <w:t>，实行常态化、制度化就业前培训、转岗培训和在职培训，提升劳动者就业能力</w:t>
      </w:r>
      <w:r>
        <w:rPr>
          <w:rFonts w:ascii="Times New Roman" w:hAnsi="Times New Roman" w:cs="Times New Roman"/>
          <w:lang w:val="en-GB"/>
        </w:rPr>
        <w:t>。鼓励支持社会培训机构开展职业技能培训，加强职业技能培训能力建设。落实贫困家庭中等职业教育国家助学金和免学费政策，加大贫困劳动力和贫困家庭子女技能扶贫工作力度，提高就业困难群体就业能力。深化产业工人队伍建设改革，团结引导产业工人在中国式现代化建设中发挥主力军作用。</w:t>
      </w:r>
    </w:p>
    <w:p>
      <w:pPr>
        <w:pStyle w:val="25"/>
        <w:ind w:firstLine="602"/>
        <w:rPr>
          <w:rFonts w:ascii="Times New Roman" w:hAnsi="Times New Roman" w:cs="Times New Roman"/>
        </w:rPr>
      </w:pPr>
      <w:r>
        <w:rPr>
          <w:rFonts w:ascii="Times New Roman" w:hAnsi="Times New Roman" w:eastAsia="楷体" w:cs="Times New Roman"/>
          <w:b/>
          <w:bCs/>
          <w:lang w:val="en-GB"/>
        </w:rPr>
        <w:t>发挥创业带动就业倍增效应。</w:t>
      </w:r>
      <w:r>
        <w:rPr>
          <w:rFonts w:ascii="Times New Roman" w:hAnsi="Times New Roman" w:cs="Times New Roman"/>
          <w:lang w:val="en-GB"/>
        </w:rPr>
        <w:t>优化创业环境，降低创业成本，提升创业成功率，充分发挥创业带动就业的倍增效应。落实创业担保贷款、创业补贴等政策，加大创业扶持力度。支持建设乡村振兴车间，为农村劳动力提供就近就业岗位</w:t>
      </w:r>
      <w:r>
        <w:rPr>
          <w:rFonts w:ascii="Times New Roman" w:hAnsi="Times New Roman" w:cs="Times New Roman"/>
        </w:rPr>
        <w:t>，打造一批充分就业社区（村）</w:t>
      </w:r>
      <w:r>
        <w:rPr>
          <w:rFonts w:ascii="Times New Roman" w:hAnsi="Times New Roman" w:cs="Times New Roman"/>
          <w:lang w:val="en-GB"/>
        </w:rPr>
        <w:t>。</w:t>
      </w:r>
      <w:r>
        <w:rPr>
          <w:rFonts w:ascii="Times New Roman" w:hAnsi="Times New Roman" w:cs="Times New Roman"/>
        </w:rPr>
        <w:t>加快创业孵化、返乡创业园等载体建设，</w:t>
      </w:r>
      <w:r>
        <w:rPr>
          <w:rFonts w:ascii="Times New Roman" w:hAnsi="Times New Roman" w:cs="Times New Roman"/>
          <w:lang w:val="en-GB"/>
        </w:rPr>
        <w:t>支持青年创新创业、农民工返乡入乡创业，</w:t>
      </w:r>
      <w:r>
        <w:rPr>
          <w:rFonts w:ascii="Times New Roman" w:hAnsi="Times New Roman" w:cs="Times New Roman"/>
        </w:rPr>
        <w:t>推动就业扩容。</w:t>
      </w:r>
      <w:r>
        <w:rPr>
          <w:rFonts w:ascii="Times New Roman" w:hAnsi="Times New Roman" w:cs="Times New Roman"/>
          <w:lang w:val="en-GB"/>
        </w:rPr>
        <w:t>鼓励发展平台经济、共享经济等新业态新模式，创造更多灵活就业机会。</w:t>
      </w:r>
    </w:p>
    <w:p>
      <w:pPr>
        <w:pStyle w:val="29"/>
        <w:numPr>
          <w:ilvl w:val="0"/>
          <w:numId w:val="11"/>
        </w:numPr>
        <w:rPr>
          <w:rFonts w:ascii="Times New Roman" w:hAnsi="Times New Roman" w:cs="Times New Roman"/>
          <w:lang w:val="en-GB"/>
        </w:rPr>
      </w:pPr>
      <w:bookmarkStart w:id="169" w:name="_Toc216945846"/>
      <w:r>
        <w:rPr>
          <w:rFonts w:ascii="Times New Roman" w:hAnsi="Times New Roman" w:cs="Times New Roman"/>
          <w:lang w:val="en-GB"/>
        </w:rPr>
        <w:t>健全覆盖全民的社会保障体系</w:t>
      </w:r>
      <w:bookmarkEnd w:id="169"/>
    </w:p>
    <w:p>
      <w:pPr>
        <w:pStyle w:val="25"/>
        <w:ind w:firstLine="600"/>
        <w:rPr>
          <w:rFonts w:ascii="Times New Roman" w:hAnsi="Times New Roman" w:cs="Times New Roman"/>
        </w:rPr>
      </w:pPr>
      <w:r>
        <w:rPr>
          <w:rFonts w:ascii="Times New Roman" w:hAnsi="Times New Roman" w:cs="Times New Roman"/>
        </w:rPr>
        <w:t>坚持统筹兼顾、公益普惠原则，建立更加公平更可持续的社会保障制度，形成覆盖全民、城乡统筹、权责清晰、保障适度的多层次社会保障体系。</w:t>
      </w:r>
    </w:p>
    <w:p>
      <w:pPr>
        <w:pStyle w:val="25"/>
        <w:ind w:firstLine="602"/>
        <w:rPr>
          <w:rFonts w:ascii="Times New Roman" w:hAnsi="Times New Roman" w:cs="Times New Roman"/>
          <w:lang w:val="en-GB"/>
        </w:rPr>
      </w:pPr>
      <w:r>
        <w:rPr>
          <w:rFonts w:ascii="Times New Roman" w:hAnsi="Times New Roman" w:eastAsia="楷体" w:cs="Times New Roman"/>
          <w:b/>
          <w:bCs/>
          <w:lang w:val="en-GB"/>
        </w:rPr>
        <w:t>扩大社会保险覆盖面。</w:t>
      </w:r>
      <w:r>
        <w:rPr>
          <w:rFonts w:ascii="Times New Roman" w:hAnsi="Times New Roman" w:cs="Times New Roman"/>
          <w:lang w:val="en-GB"/>
        </w:rPr>
        <w:t>实施“全民参保计划”，建立健全参保扩面网格化管理机制，持续加大扩面征缴力度，建立健全被征地农民社会保险机制和城乡居民基本养老保险参保缴费机制，确保城乡居民基本养老保险覆盖率稳定在95%以上。完善社保关系转移接续政策，提高灵活就业人员、农民工、新就业形态人员参保率。扩大失业保险、工伤保险覆盖面，健全职业伤害保障制度。健全重特大疾病医疗保险制度，积极发展商业医疗保险，增强大病保障能力。</w:t>
      </w:r>
    </w:p>
    <w:p>
      <w:pPr>
        <w:pStyle w:val="25"/>
        <w:ind w:firstLine="602"/>
        <w:rPr>
          <w:rFonts w:ascii="Times New Roman" w:hAnsi="Times New Roman" w:cs="Times New Roman"/>
        </w:rPr>
      </w:pPr>
      <w:r>
        <w:rPr>
          <w:rFonts w:ascii="Times New Roman" w:hAnsi="Times New Roman" w:eastAsia="楷体" w:cs="Times New Roman"/>
          <w:b/>
          <w:bCs/>
          <w:lang w:val="en-GB"/>
        </w:rPr>
        <w:t>完善社会保险制度。</w:t>
      </w:r>
      <w:r>
        <w:rPr>
          <w:rFonts w:ascii="Times New Roman" w:hAnsi="Times New Roman" w:cs="Times New Roman"/>
          <w:lang w:val="en-GB"/>
        </w:rPr>
        <w:t>推进养老体制改革，落实个人养老金制度和渐进式延迟法定退休年龄政策，逐步提高城乡居民基础养老金水平。深化医保制度改革，优化基本医疗保险报销比例。完善社会保险公共服务平台，优化数字化便民服务。完善社保、医保基金监管机制，强化社保基金收支管理</w:t>
      </w:r>
      <w:r>
        <w:rPr>
          <w:rFonts w:ascii="Times New Roman" w:hAnsi="Times New Roman" w:cs="Times New Roman"/>
        </w:rPr>
        <w:t>，确保基金安全。</w:t>
      </w:r>
    </w:p>
    <w:p>
      <w:pPr>
        <w:pStyle w:val="25"/>
        <w:ind w:firstLine="602"/>
        <w:rPr>
          <w:rFonts w:ascii="Times New Roman" w:hAnsi="Times New Roman" w:cs="Times New Roman"/>
        </w:rPr>
      </w:pPr>
      <w:r>
        <w:rPr>
          <w:rFonts w:ascii="Times New Roman" w:hAnsi="Times New Roman" w:eastAsia="楷体" w:cs="Times New Roman"/>
          <w:b/>
          <w:bCs/>
          <w:lang w:val="en-GB"/>
        </w:rPr>
        <w:t>完善社会救助体系。</w:t>
      </w:r>
      <w:r>
        <w:rPr>
          <w:rFonts w:ascii="Times New Roman" w:hAnsi="Times New Roman" w:cs="Times New Roman"/>
          <w:lang w:val="en-GB"/>
        </w:rPr>
        <w:t>健全分层分类社会救助体系，提升社会救助服务效能。</w:t>
      </w:r>
      <w:r>
        <w:rPr>
          <w:rFonts w:ascii="Times New Roman" w:hAnsi="Times New Roman" w:cs="Times New Roman"/>
        </w:rPr>
        <w:t>深入开展城乡低保专项治理、加大对特困人员、残疾人等弱势群体的关注力度，适时调整对困难群众的救助标准，兜牢民生底线。</w:t>
      </w:r>
      <w:r>
        <w:rPr>
          <w:rFonts w:ascii="Times New Roman" w:hAnsi="Times New Roman" w:cs="Times New Roman"/>
          <w:lang w:val="en-GB"/>
        </w:rPr>
        <w:t>深化社会救助领域“高效办成一件事”改革，开展社会救助领域创新实践活动，深化服务类社会救助试点。</w:t>
      </w:r>
    </w:p>
    <w:p>
      <w:pPr>
        <w:pStyle w:val="25"/>
        <w:ind w:firstLine="602"/>
        <w:rPr>
          <w:rFonts w:ascii="Times New Roman" w:hAnsi="Times New Roman" w:cs="Times New Roman"/>
          <w:lang w:val="en-GB"/>
        </w:rPr>
      </w:pPr>
      <w:r>
        <w:rPr>
          <w:rFonts w:ascii="Times New Roman" w:hAnsi="Times New Roman" w:eastAsia="楷体" w:cs="Times New Roman"/>
          <w:b/>
          <w:bCs/>
          <w:lang w:val="en-GB"/>
        </w:rPr>
        <w:t>发展社会福利和慈善事业。</w:t>
      </w:r>
      <w:r>
        <w:rPr>
          <w:rFonts w:ascii="Times New Roman" w:hAnsi="Times New Roman" w:cs="Times New Roman"/>
          <w:lang w:val="en-GB"/>
        </w:rPr>
        <w:t>健全退役军人工作体系</w:t>
      </w:r>
      <w:r>
        <w:rPr>
          <w:rFonts w:ascii="Times New Roman" w:hAnsi="Times New Roman" w:cs="Times New Roman"/>
        </w:rPr>
        <w:t>，加强退役军人服务保障。鼓励支持志愿服务者活动，积极发展慈善事业。加强空巢老人、困境儿童、残疾人等特殊群体关爱，为有需求的失能人员提供日间照料和居家托养服务。</w:t>
      </w:r>
      <w:r>
        <w:rPr>
          <w:rFonts w:ascii="Times New Roman" w:hAnsi="Times New Roman" w:cs="Times New Roman"/>
          <w:lang w:val="en-GB"/>
        </w:rPr>
        <w:t>完善殡葬基础设施，推进农村公益性公墓及集中治丧场所建设和县级公墓建设项目，实现乡镇农村公益性公墓全覆盖。</w:t>
      </w:r>
    </w:p>
    <w:p>
      <w:pPr>
        <w:pStyle w:val="25"/>
        <w:ind w:firstLine="602"/>
        <w:rPr>
          <w:rFonts w:ascii="Times New Roman" w:hAnsi="Times New Roman" w:cs="Times New Roman"/>
          <w:lang w:val="en-GB"/>
        </w:rPr>
      </w:pPr>
      <w:r>
        <w:rPr>
          <w:rFonts w:ascii="Times New Roman" w:hAnsi="Times New Roman" w:eastAsia="楷体" w:cs="Times New Roman"/>
          <w:b/>
          <w:bCs/>
          <w:lang w:val="en-GB"/>
        </w:rPr>
        <w:t>推动房地产高质量发展。</w:t>
      </w:r>
      <w:r>
        <w:rPr>
          <w:rFonts w:ascii="Times New Roman" w:hAnsi="Times New Roman" w:cs="Times New Roman"/>
          <w:lang w:val="en-GB"/>
        </w:rPr>
        <w:t>健全以公共租赁住房、保障性租赁住房为主体的配租型保障性住房，以及以共有产权住房为主的配售型保障性住房体系，加大保障性住房供给</w:t>
      </w:r>
      <w:r>
        <w:rPr>
          <w:rFonts w:ascii="Times New Roman" w:hAnsi="Times New Roman" w:cs="Times New Roman"/>
        </w:rPr>
        <w:t>，满足困难群体住房需求。</w:t>
      </w:r>
      <w:r>
        <w:rPr>
          <w:rFonts w:ascii="Times New Roman" w:hAnsi="Times New Roman" w:cs="Times New Roman"/>
          <w:lang w:val="en-GB"/>
        </w:rPr>
        <w:t>增加刚性和改善性住房供给，持续推进城乡居住品质提升工程，实施物业服务质量提升行动，建设安全舒适绿色智慧的“好房子”。健全房屋全生命周期安全管理制度。</w:t>
      </w:r>
    </w:p>
    <w:p>
      <w:pPr>
        <w:pStyle w:val="29"/>
        <w:numPr>
          <w:ilvl w:val="0"/>
          <w:numId w:val="11"/>
        </w:numPr>
        <w:rPr>
          <w:rFonts w:ascii="Times New Roman" w:hAnsi="Times New Roman" w:cs="Times New Roman"/>
          <w:lang w:val="en-GB"/>
        </w:rPr>
      </w:pPr>
      <w:bookmarkStart w:id="170" w:name="_Toc216945847"/>
      <w:r>
        <w:rPr>
          <w:rFonts w:ascii="Times New Roman" w:hAnsi="Times New Roman" w:cs="Times New Roman"/>
          <w:lang w:val="en-GB"/>
        </w:rPr>
        <w:t>办好人民满意的高质量教育</w:t>
      </w:r>
      <w:bookmarkEnd w:id="170"/>
    </w:p>
    <w:p>
      <w:pPr>
        <w:pStyle w:val="25"/>
        <w:ind w:firstLine="600"/>
        <w:rPr>
          <w:rFonts w:ascii="Times New Roman" w:hAnsi="Times New Roman" w:cs="Times New Roman"/>
        </w:rPr>
      </w:pPr>
      <w:r>
        <w:rPr>
          <w:rFonts w:ascii="Times New Roman" w:hAnsi="Times New Roman" w:cs="Times New Roman"/>
        </w:rPr>
        <w:t>坚持教育的公益性和普惠性，优化教育资源布局，提升教育质量，切实加快教育现代化步伐，努力建成教育强县。</w:t>
      </w:r>
    </w:p>
    <w:p>
      <w:pPr>
        <w:pStyle w:val="25"/>
        <w:ind w:firstLine="602"/>
        <w:rPr>
          <w:rFonts w:ascii="Times New Roman" w:hAnsi="Times New Roman" w:cs="Times New Roman"/>
          <w:lang w:val="en-GB"/>
        </w:rPr>
      </w:pPr>
      <w:r>
        <w:rPr>
          <w:rFonts w:ascii="Times New Roman" w:hAnsi="Times New Roman" w:eastAsia="楷体" w:cs="Times New Roman"/>
          <w:b/>
          <w:bCs/>
          <w:lang w:val="en-GB"/>
        </w:rPr>
        <w:t>全面提升教育教学质量。</w:t>
      </w:r>
      <w:r>
        <w:rPr>
          <w:rFonts w:ascii="Times New Roman" w:hAnsi="Times New Roman" w:cs="Times New Roman"/>
        </w:rPr>
        <w:t>全面贯彻党的教育方针，实施新时代立德树人工程，促进学生德智体美劳全面发展。</w:t>
      </w:r>
      <w:r>
        <w:rPr>
          <w:rFonts w:ascii="Times New Roman" w:hAnsi="Times New Roman" w:cs="Times New Roman"/>
          <w:lang w:val="en-GB"/>
        </w:rPr>
        <w:t>持续贯彻实施教育2.0行动计划</w:t>
      </w:r>
      <w:r>
        <w:rPr>
          <w:rFonts w:ascii="Times New Roman" w:hAnsi="Times New Roman" w:cs="Times New Roman"/>
        </w:rPr>
        <w:t>，动态优化城乡学校布局，优化资源配置，</w:t>
      </w:r>
      <w:r>
        <w:rPr>
          <w:rFonts w:ascii="Times New Roman" w:hAnsi="Times New Roman" w:cs="Times New Roman"/>
          <w:lang w:val="en-GB"/>
        </w:rPr>
        <w:t>推进学前教育普及普惠发展、义务教育优质均衡发展、高中教育高质量发展。实施“新优质学校”创建工程，力争用三年时间把思源、芙蓉、方家屯等义务教育学校创建成“教育理念科学、学校管理规范、办学特色鲜明、办学成效明显、社会声誉良好”的“家门口的好学校”，打造成为湘黔边界新的教育“标杆”，成为高考优质生源源源不断的“造血站”。大力发展职业教育，依托市域职业教育联合体等资源，提升新晃职中教学质量。</w:t>
      </w:r>
    </w:p>
    <w:p>
      <w:pPr>
        <w:pStyle w:val="25"/>
        <w:ind w:firstLine="602"/>
        <w:rPr>
          <w:rFonts w:ascii="Times New Roman" w:hAnsi="Times New Roman" w:cs="Times New Roman"/>
        </w:rPr>
      </w:pPr>
      <w:r>
        <w:rPr>
          <w:rFonts w:ascii="Times New Roman" w:hAnsi="Times New Roman" w:eastAsia="楷体" w:cs="Times New Roman"/>
          <w:b/>
          <w:bCs/>
          <w:lang w:val="en-GB"/>
        </w:rPr>
        <w:t>全力抓实校园安全。</w:t>
      </w:r>
      <w:r>
        <w:rPr>
          <w:rFonts w:ascii="Times New Roman" w:hAnsi="Times New Roman" w:cs="Times New Roman"/>
          <w:lang w:val="en-GB"/>
        </w:rPr>
        <w:t>推进实施法治副校长制度、涉教人员入职查询和报告制度，定期开展安全隐患排查和安全应急演练</w:t>
      </w:r>
      <w:r>
        <w:rPr>
          <w:rFonts w:ascii="Times New Roman" w:hAnsi="Times New Roman" w:cs="Times New Roman"/>
        </w:rPr>
        <w:t>，提升校园安全预防能力和应急处置水平</w:t>
      </w:r>
      <w:r>
        <w:rPr>
          <w:rFonts w:ascii="Times New Roman" w:hAnsi="Times New Roman" w:cs="Times New Roman"/>
          <w:lang w:val="en-GB"/>
        </w:rPr>
        <w:t>。加强“警校”联动共建，强化校园周边治安整治。严格执行“1530”安全教育工作法，以“珍爱生命、学会生活”为主题，广泛开展防性侵、防溺水、交通、消防、食品等系列安全教育，重点防范校园欺凌、“校园贷”、未成年人违法犯罪等行为。深入持久开展“明厨亮灶”行动，确保学校食品安全。</w:t>
      </w:r>
    </w:p>
    <w:p>
      <w:pPr>
        <w:pStyle w:val="25"/>
        <w:ind w:firstLine="602"/>
        <w:rPr>
          <w:rFonts w:ascii="Times New Roman" w:hAnsi="Times New Roman" w:eastAsia="楷体" w:cs="Times New Roman"/>
          <w:b/>
          <w:bCs/>
          <w:lang w:val="en-GB"/>
        </w:rPr>
      </w:pPr>
      <w:r>
        <w:rPr>
          <w:rFonts w:ascii="Times New Roman" w:hAnsi="Times New Roman" w:eastAsia="楷体" w:cs="Times New Roman"/>
          <w:b/>
          <w:bCs/>
          <w:lang w:val="en-GB"/>
        </w:rPr>
        <w:t>加强教师队伍建设。</w:t>
      </w:r>
      <w:r>
        <w:rPr>
          <w:rFonts w:ascii="Times New Roman" w:hAnsi="Times New Roman" w:cs="Times New Roman"/>
        </w:rPr>
        <w:t>把教师队伍建设作为教育发展的基础工程，构建教师专业发展与成长支撑体系。深入实施教师“青蓝工程”和“1358”梯度培养计划，完善“教学新秀—骨干教师—学科带头人—名师名校长”的梯次成长通道，依托名校长、名师工作室及各学科工作坊，强化教研训一体化，持续推动课堂改革与教学创新。健全师德师风建设长效机制，完善教师业绩档案与负面惩戒清单，常态化开展警示教育与以案促改，引导教师以德立身、以德立学、以德施教。健全家校社协同育人机制，加强学生心理健康关怀与体质监测，重视学生全面发展，营造良好育人生态，全力护航学生健康成长。</w:t>
      </w:r>
    </w:p>
    <w:p>
      <w:pPr>
        <w:pStyle w:val="29"/>
        <w:numPr>
          <w:ilvl w:val="0"/>
          <w:numId w:val="11"/>
        </w:numPr>
        <w:rPr>
          <w:rFonts w:ascii="Times New Roman" w:hAnsi="Times New Roman" w:cs="Times New Roman"/>
          <w:lang w:val="en-GB"/>
        </w:rPr>
      </w:pPr>
      <w:bookmarkStart w:id="171" w:name="_Toc216945848"/>
      <w:r>
        <w:rPr>
          <w:rFonts w:ascii="Times New Roman" w:hAnsi="Times New Roman" w:cs="Times New Roman"/>
          <w:lang w:val="en-GB"/>
        </w:rPr>
        <w:t>建设高水平健康新晃</w:t>
      </w:r>
      <w:bookmarkEnd w:id="171"/>
    </w:p>
    <w:p>
      <w:pPr>
        <w:pStyle w:val="25"/>
        <w:ind w:firstLine="600"/>
        <w:rPr>
          <w:rFonts w:ascii="Times New Roman" w:hAnsi="Times New Roman" w:cs="Times New Roman"/>
          <w:lang w:val="en-GB"/>
        </w:rPr>
      </w:pPr>
      <w:r>
        <w:rPr>
          <w:rFonts w:ascii="Times New Roman" w:hAnsi="Times New Roman" w:cs="Times New Roman"/>
          <w:lang w:val="en-GB"/>
        </w:rPr>
        <w:t>落实健康优先发展战略，深化医药卫生体制改革，提升基本公共卫生服务均等化和基本医疗服务均质化水平，建设高水平健康新晃。</w:t>
      </w:r>
    </w:p>
    <w:p>
      <w:pPr>
        <w:pStyle w:val="25"/>
        <w:ind w:firstLine="602"/>
        <w:rPr>
          <w:rFonts w:ascii="Times New Roman" w:hAnsi="Times New Roman" w:cs="Times New Roman"/>
          <w:lang w:val="en-GB"/>
        </w:rPr>
      </w:pPr>
      <w:r>
        <w:rPr>
          <w:rFonts w:ascii="Times New Roman" w:hAnsi="Times New Roman" w:eastAsia="楷体" w:cs="Times New Roman"/>
          <w:b/>
          <w:bCs/>
          <w:lang w:val="en-GB"/>
        </w:rPr>
        <w:t>健全医疗卫生服务体系。</w:t>
      </w:r>
      <w:r>
        <w:rPr>
          <w:rFonts w:ascii="Times New Roman" w:hAnsi="Times New Roman" w:cs="Times New Roman"/>
          <w:lang w:val="en-GB"/>
        </w:rPr>
        <w:t>健全以县级医院为龙头、乡镇卫生院为枢纽、村卫生室为基础的乡村医疗卫生服务体系。结合人口变化趋势优化乡镇卫生院、村卫生室设置。落实县乡村三级医疗卫生机构功能定位，强化县域内医疗卫生机构之间以纵向为主的协同、帮扶、合作，推广和推行巡回医疗、移动医疗和远程诊疗，让广大人民群众能够在家门口附近得到便捷高效、相对优质的医疗卫生服务，推动分级诊疗取得更显著进展。加强紧密型县域医共体内涵建设，推动医共体内人员、技术、服务、管理“四个下沉”，促进医共体内服务均质化，推进检查检验结果互认。持续深化县人民医院省级边界类区域医疗中心建设，积极推进扶罗镇中心卫生院县域医疗卫生次中心建设。加快推进县人民医院医疗服务体系提质升级、县中医医院医养结合中心扩建、县妇幼保健院整体搬迁等重点项目建设。</w:t>
      </w:r>
    </w:p>
    <w:p>
      <w:pPr>
        <w:pStyle w:val="25"/>
        <w:ind w:firstLine="602"/>
        <w:rPr>
          <w:rFonts w:ascii="Times New Roman" w:hAnsi="Times New Roman" w:cs="Times New Roman"/>
        </w:rPr>
      </w:pPr>
      <w:r>
        <w:rPr>
          <w:rFonts w:ascii="Times New Roman" w:hAnsi="Times New Roman" w:eastAsia="楷体" w:cs="Times New Roman"/>
          <w:b/>
          <w:bCs/>
          <w:lang w:val="en-GB"/>
        </w:rPr>
        <w:t>优化医疗卫生服务水平。</w:t>
      </w:r>
      <w:r>
        <w:rPr>
          <w:rFonts w:ascii="Times New Roman" w:hAnsi="Times New Roman" w:cs="Times New Roman"/>
          <w:lang w:val="en-GB"/>
        </w:rPr>
        <w:t>持续优化基本公共卫生服务项目，充实内容、量化频次。加强慢性病综合防控，</w:t>
      </w:r>
      <w:r>
        <w:rPr>
          <w:rFonts w:ascii="Times New Roman" w:hAnsi="Times New Roman" w:cs="Times New Roman"/>
        </w:rPr>
        <w:t>加大健康知识宣传普及力度，开展减盐减油行动，</w:t>
      </w:r>
      <w:r>
        <w:rPr>
          <w:rFonts w:ascii="Times New Roman" w:hAnsi="Times New Roman" w:cs="Times New Roman"/>
          <w:lang w:val="en-GB"/>
        </w:rPr>
        <w:t>逐步提升居民健康素养</w:t>
      </w:r>
      <w:r>
        <w:rPr>
          <w:rFonts w:ascii="Times New Roman" w:hAnsi="Times New Roman" w:cs="Times New Roman"/>
        </w:rPr>
        <w:t>，不断提高人均预期寿命和人民健康水平</w:t>
      </w:r>
      <w:r>
        <w:rPr>
          <w:rFonts w:ascii="Times New Roman" w:hAnsi="Times New Roman" w:cs="Times New Roman"/>
          <w:lang w:val="en-GB"/>
        </w:rPr>
        <w:t>。加强基层多病共防、多病共管和医防融合，强化突发公共卫生事件报告和处理、职业病和地方病防治等基本公共卫生服务。持续开展“优质服务基层行”活动，加强乡镇卫生院、社区卫生服务中心特色科室建设，强化村卫生室基本医疗服务功能，持续推进家庭医生签约服务高质量发展。完善接续性服务体系，大力发展康复、护理、安宁疗护等服务。健全县乡村用药衔接联动机制，动态调整乡村两级用药品种，适应群众需求。促进医养结合，强化医疗养老资源共享，鼓励基层医疗卫生机构与养老服务设施统筹规划、毗邻建设。</w:t>
      </w:r>
    </w:p>
    <w:p>
      <w:pPr>
        <w:pStyle w:val="25"/>
        <w:ind w:firstLine="602"/>
        <w:rPr>
          <w:rFonts w:ascii="Times New Roman" w:hAnsi="Times New Roman" w:cs="Times New Roman"/>
          <w:lang w:val="en-GB"/>
        </w:rPr>
      </w:pPr>
      <w:r>
        <w:rPr>
          <w:rFonts w:ascii="Times New Roman" w:hAnsi="Times New Roman" w:eastAsia="楷体" w:cs="Times New Roman"/>
          <w:b/>
          <w:bCs/>
          <w:lang w:val="en-GB"/>
        </w:rPr>
        <w:t>加强医疗卫生要素保障。</w:t>
      </w:r>
      <w:r>
        <w:rPr>
          <w:rFonts w:ascii="Times New Roman" w:hAnsi="Times New Roman" w:cs="Times New Roman"/>
          <w:lang w:val="en-GB"/>
        </w:rPr>
        <w:t>加强医疗卫生机构运行保障。优化升级医疗卫生机构设施设备，推进县级医院、重点中心乡镇卫生院提质升级，改善县级公立医院薄弱科室和乡镇卫生院设施设备条件。统筹紧密型县域医共体成员单位人员调配，推进县管乡用、乡聘村用，建立健全人才双向流动机制。加强公共卫生医师、全科医生、“西学中”人才、薄弱学科和紧缺专业人才等培养培训，发展壮大护士、康复人才队伍。统筹推动紧密型县域医共体信息化建设，加强基层医疗卫生机构与二、三级医疗机构电子病历、电子健康档案等互通共享。持续完善县域医共体薪酬分配政策，合理确定内部薪酬结构，注重医务人员的稳定收入和有效激励。建立公立医院编制动态调整机制，突出保基本、保重点、保运行。</w:t>
      </w:r>
    </w:p>
    <w:p>
      <w:pPr>
        <w:pStyle w:val="25"/>
        <w:ind w:firstLine="602"/>
        <w:rPr>
          <w:rFonts w:ascii="Times New Roman" w:hAnsi="Times New Roman" w:cs="Times New Roman"/>
          <w:lang w:val="en-GB"/>
        </w:rPr>
      </w:pPr>
      <w:r>
        <w:rPr>
          <w:rFonts w:ascii="Times New Roman" w:hAnsi="Times New Roman" w:eastAsia="楷体" w:cs="Times New Roman"/>
          <w:b/>
          <w:bCs/>
          <w:lang w:val="en-GB"/>
        </w:rPr>
        <w:t>加快中医药使用推广。</w:t>
      </w:r>
      <w:r>
        <w:rPr>
          <w:rFonts w:ascii="Times New Roman" w:hAnsi="Times New Roman" w:cs="Times New Roman"/>
          <w:lang w:val="en-GB"/>
        </w:rPr>
        <w:t>推动县中医医院三级医院创建，发挥县中医医院在县域中医医疗、预防保健、特色康复、人才培养、适宜技术推广和中医药健康宣教的龙头作用，强化县中医医院重点科室建设，至少建成2个中医特色优势专科和1个县域中医药适宜技术推广中心。乡镇卫生院普遍设立中医馆并提升中医药服务能力，加强中医药适宜技术推广。鼓励开展基层名老中医药专家传承工作室建设。面向基层医疗卫生机构医师和乡村医生开展中医药知识技能培训。</w:t>
      </w:r>
    </w:p>
    <w:p>
      <w:pPr>
        <w:pStyle w:val="25"/>
        <w:ind w:firstLine="602"/>
        <w:rPr>
          <w:rFonts w:ascii="Times New Roman" w:hAnsi="Times New Roman" w:cs="Times New Roman"/>
          <w:lang w:val="en-GB"/>
        </w:rPr>
      </w:pPr>
      <w:r>
        <w:rPr>
          <w:rFonts w:ascii="Times New Roman" w:hAnsi="Times New Roman" w:eastAsia="楷体" w:cs="Times New Roman"/>
          <w:b/>
          <w:bCs/>
          <w:lang w:val="en-GB"/>
        </w:rPr>
        <w:t>深化疾病预防控制体系改革。</w:t>
      </w:r>
      <w:r>
        <w:rPr>
          <w:rFonts w:ascii="Times New Roman" w:hAnsi="Times New Roman" w:cs="Times New Roman"/>
          <w:lang w:val="en-GB"/>
        </w:rPr>
        <w:t>推动县级疾病预防控制中心和卫生监督所有序整合，稳定队伍，加强疾控技术支撑与监督执法有效协同，全面提升监测预警、流行病学调查、实验室检测、疫情风险研判、职业病危害因素监测、应急处置、监督执法等能力。</w:t>
      </w:r>
    </w:p>
    <w:p>
      <w:pPr>
        <w:pStyle w:val="29"/>
        <w:numPr>
          <w:ilvl w:val="0"/>
          <w:numId w:val="11"/>
        </w:numPr>
        <w:rPr>
          <w:rFonts w:ascii="Times New Roman" w:hAnsi="Times New Roman" w:cs="Times New Roman"/>
          <w:lang w:val="en-GB"/>
        </w:rPr>
      </w:pPr>
      <w:bookmarkStart w:id="172" w:name="_Toc216945849"/>
      <w:r>
        <w:rPr>
          <w:rFonts w:ascii="Times New Roman" w:hAnsi="Times New Roman" w:cs="Times New Roman"/>
          <w:lang w:val="en-GB"/>
        </w:rPr>
        <w:t>促进人口高质量发展</w:t>
      </w:r>
      <w:bookmarkEnd w:id="172"/>
    </w:p>
    <w:p>
      <w:pPr>
        <w:pStyle w:val="25"/>
        <w:ind w:firstLine="600"/>
        <w:rPr>
          <w:rFonts w:ascii="Times New Roman" w:hAnsi="Times New Roman" w:cs="Times New Roman"/>
          <w:lang w:val="en-GB"/>
        </w:rPr>
      </w:pPr>
      <w:r>
        <w:rPr>
          <w:rFonts w:ascii="Times New Roman" w:hAnsi="Times New Roman" w:cs="Times New Roman"/>
          <w:lang w:val="en-GB"/>
        </w:rPr>
        <w:t>主动适应人口发展新常态，围绕“一老一小”重点群体，健全全生命周期人口服务体系，促进人口长期均衡发展。</w:t>
      </w:r>
    </w:p>
    <w:p>
      <w:pPr>
        <w:pStyle w:val="25"/>
        <w:ind w:firstLine="602"/>
        <w:rPr>
          <w:rFonts w:ascii="Times New Roman" w:hAnsi="Times New Roman" w:cs="Times New Roman"/>
        </w:rPr>
      </w:pPr>
      <w:r>
        <w:rPr>
          <w:rFonts w:ascii="Times New Roman" w:hAnsi="Times New Roman" w:eastAsia="楷体" w:cs="Times New Roman"/>
          <w:b/>
          <w:bCs/>
          <w:lang w:val="en-GB"/>
        </w:rPr>
        <w:t>建设生育友好型社会。</w:t>
      </w:r>
      <w:r>
        <w:rPr>
          <w:rFonts w:ascii="Times New Roman" w:hAnsi="Times New Roman" w:cs="Times New Roman"/>
        </w:rPr>
        <w:t>落实国家生育支持政策，加强婚育观念正向引导，营造尊重生育、支持养育的社会氛围。完善生育休假与保险制度衔接，保障女性就业合法权益。加强优生优育全程服务，扩大“孕、生、养、教”一体化服务供给，降低生育、养育、教育成本。发展普惠托育服务，鼓励和支持社会力量建设嵌入式、标准化的社区托育点，扩大托育服务供给。</w:t>
      </w:r>
    </w:p>
    <w:p>
      <w:pPr>
        <w:pStyle w:val="25"/>
        <w:ind w:firstLine="602"/>
        <w:rPr>
          <w:rFonts w:ascii="Times New Roman" w:hAnsi="Times New Roman" w:cs="Times New Roman"/>
        </w:rPr>
      </w:pPr>
      <w:r>
        <w:rPr>
          <w:rFonts w:ascii="Times New Roman" w:hAnsi="Times New Roman" w:eastAsia="楷体" w:cs="Times New Roman"/>
          <w:b/>
          <w:bCs/>
          <w:lang w:val="en-GB"/>
        </w:rPr>
        <w:t>积极应对人口老龄化。</w:t>
      </w:r>
      <w:r>
        <w:rPr>
          <w:rFonts w:ascii="Times New Roman" w:hAnsi="Times New Roman" w:cs="Times New Roman"/>
        </w:rPr>
        <w:t>发挥政府主导作用，发展普惠性养老，加快县老年人养护服务中心、农村综合养老服务中心建设，完善覆盖城乡的三级养老服务网络，支持社区日间照料中心、老年服务助餐点等设施建设与运营，拓展助餐、助浴、助洁等居家上门服务，构建机构养老为支撑、居家社区机构主体、医养康养相结合的养老服务体系。深化医养结合，推动县乡医疗机构与养老机构签约合作，支持县中医医院发展特色侗医药康养服务，推进养老事业与养老产业协同发展。稳步推进县城适老化改造，建设老年友好型社区，大力发展银发经济，满足老年人多样化、多层次服务需求。办好老年人大学，发展老年体育事业，丰富老年人文娱生活。</w:t>
      </w:r>
    </w:p>
    <w:p>
      <w:pPr>
        <w:pStyle w:val="25"/>
        <w:ind w:firstLine="602"/>
        <w:rPr>
          <w:rFonts w:ascii="Times New Roman" w:hAnsi="Times New Roman" w:cs="Times New Roman"/>
        </w:rPr>
      </w:pPr>
      <w:r>
        <w:rPr>
          <w:rFonts w:ascii="Times New Roman" w:hAnsi="Times New Roman" w:eastAsia="楷体" w:cs="Times New Roman"/>
          <w:b/>
          <w:bCs/>
          <w:lang w:val="en-GB"/>
        </w:rPr>
        <w:t>保障青年发展权益。</w:t>
      </w:r>
      <w:r>
        <w:rPr>
          <w:rFonts w:ascii="Times New Roman" w:hAnsi="Times New Roman" w:cs="Times New Roman"/>
        </w:rPr>
        <w:t>强化青少年社会实践教育，落实青年人才普惠性支持，完善青年就业创业服务体系，培育一批本地青年企业和青年企业家。畅通青少年参政议政途径，培育和支持青年社会组织发展，完善县域志愿服务体系建设，丰富青少年精神文化产品供给，加强青少年人文关怀和心理健康支持，全面推进青年社会融入。深化青年建功行动，选树优秀青年榜样，推动青年在经济社会发展中充分发挥生力军和突击队作用。</w:t>
      </w:r>
    </w:p>
    <w:tbl>
      <w:tblPr>
        <w:tblStyle w:val="19"/>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25"/>
              <w:ind w:firstLine="0" w:firstLineChars="0"/>
              <w:jc w:val="center"/>
              <w:rPr>
                <w:rFonts w:ascii="Times New Roman" w:hAnsi="Times New Roman" w:cs="Times New Roman"/>
              </w:rPr>
            </w:pPr>
            <w:r>
              <w:rPr>
                <w:rFonts w:ascii="Times New Roman" w:hAnsi="Times New Roman" w:cs="Times New Roman"/>
                <w:b/>
                <w:bCs/>
              </w:rPr>
              <w:t>专栏十四：社会保障提质扩面与民生保障工程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96" w:type="dxa"/>
          </w:tcPr>
          <w:p>
            <w:pPr>
              <w:pStyle w:val="46"/>
              <w:ind w:firstLine="562"/>
              <w:rPr>
                <w:rFonts w:ascii="Times New Roman" w:hAnsi="Times New Roman" w:cs="Times New Roman"/>
              </w:rPr>
            </w:pPr>
            <w:r>
              <w:rPr>
                <w:rFonts w:ascii="Times New Roman" w:hAnsi="Times New Roman" w:cs="Times New Roman"/>
                <w:b/>
                <w:bCs w:val="0"/>
              </w:rPr>
              <w:t>教育优质均衡发展工程。</w:t>
            </w:r>
            <w:r>
              <w:rPr>
                <w:rFonts w:ascii="Times New Roman" w:hAnsi="Times New Roman" w:cs="Times New Roman"/>
              </w:rPr>
              <w:t>构建高质量教育体系，持续优化全学段教育水平。（1）实施学前教育资源优化提质工程，按人口半径科学布局标准公办园，淘汰不达标园所。（2）推进义务教育优质均衡发展和城乡一体化建设，全面实施11个中心乡镇学校的提质改造。（3）加快普通高中多样化发展，完成新晃一中体育馆、教学楼等标准化建设和新晃职业中专综合高中试点，扩大优质学位供给。（4）实施教育数字化建设工程，打造“一平台、八体系”的智慧教育体系。（5）新建特殊教育学校，满足特殊儿童入学需求。（6）建成县级托育服务中心，构建规范化婴幼儿照护体系。</w:t>
            </w:r>
          </w:p>
          <w:p>
            <w:pPr>
              <w:pStyle w:val="46"/>
              <w:ind w:firstLine="562"/>
              <w:rPr>
                <w:rFonts w:ascii="Times New Roman" w:hAnsi="Times New Roman" w:cs="Times New Roman"/>
              </w:rPr>
            </w:pPr>
            <w:r>
              <w:rPr>
                <w:rFonts w:ascii="Times New Roman" w:hAnsi="Times New Roman" w:cs="Times New Roman"/>
                <w:b/>
                <w:bCs w:val="0"/>
              </w:rPr>
              <w:t>医疗卫生服务能力提升工程。</w:t>
            </w:r>
            <w:r>
              <w:rPr>
                <w:rFonts w:ascii="Times New Roman" w:hAnsi="Times New Roman" w:cs="Times New Roman"/>
              </w:rPr>
              <w:t>健全公共卫生体系，增强县域医疗服务整体效能。（1）核心是建设紧密型县域医共体，实现医学影像、心电诊断等四大资源共享，打通县乡村医疗卫生服务链条。（2）全面改善人民医院就医环境与救治能力，完成病房标准化改造、感染科新建及流程优化。</w:t>
            </w:r>
          </w:p>
          <w:p>
            <w:pPr>
              <w:pStyle w:val="46"/>
              <w:ind w:firstLine="562"/>
              <w:rPr>
                <w:rFonts w:ascii="Times New Roman" w:hAnsi="Times New Roman" w:cs="Times New Roman"/>
              </w:rPr>
            </w:pPr>
            <w:r>
              <w:rPr>
                <w:rFonts w:ascii="Times New Roman" w:hAnsi="Times New Roman" w:cs="Times New Roman"/>
                <w:b/>
                <w:bCs w:val="0"/>
              </w:rPr>
              <w:t>就业创业与技能提升工程。</w:t>
            </w:r>
            <w:r>
              <w:rPr>
                <w:rFonts w:ascii="Times New Roman" w:hAnsi="Times New Roman" w:cs="Times New Roman"/>
              </w:rPr>
              <w:t>强化就业优先导向，完善终身职业技能培训体系。（1）高标准建设县级公共实训基地，配备电工、智能制造等多工种实训设施，为城乡劳动者提供专业化、规模化技能培训平台。（2）打造青年创新创业高地，建成直播创业孵化基地，整合政府、企业、人才、产品资源，提供创业培训、导师辅导、投融资对接等全链条服务。</w:t>
            </w:r>
          </w:p>
          <w:p>
            <w:pPr>
              <w:pStyle w:val="46"/>
              <w:ind w:firstLine="562"/>
              <w:rPr>
                <w:rFonts w:ascii="Times New Roman" w:hAnsi="Times New Roman" w:cs="Times New Roman"/>
              </w:rPr>
            </w:pPr>
            <w:r>
              <w:rPr>
                <w:rFonts w:ascii="Times New Roman" w:hAnsi="Times New Roman" w:cs="Times New Roman"/>
                <w:b/>
                <w:bCs w:val="0"/>
              </w:rPr>
              <w:t>“一老一小”与基本社会服务保障工程。</w:t>
            </w:r>
            <w:r>
              <w:rPr>
                <w:rFonts w:ascii="Times New Roman" w:hAnsi="Times New Roman" w:cs="Times New Roman"/>
              </w:rPr>
              <w:t>聚焦全生命周期民生需求，筑牢民生保障底线。（1）加快完善养老服务体系，新建县级老年人养护服务中心，构建县乡村三级养老服务网络，实现机构、社区、居家养老协调发展。（2）推进殡葬服务设施现代化与普惠化，在全县11个乡镇建设公益性公墓和集中治丧场所，并在晃州镇新建县级标准化公墓，提供规范、惠民、生态的殡葬服务，引导文明新风。</w:t>
            </w:r>
          </w:p>
        </w:tc>
      </w:tr>
    </w:tbl>
    <w:p>
      <w:pPr>
        <w:pStyle w:val="25"/>
        <w:ind w:firstLine="0" w:firstLineChars="0"/>
        <w:rPr>
          <w:rFonts w:ascii="Times New Roman" w:hAnsi="Times New Roman" w:cs="Times New Roman"/>
        </w:rPr>
        <w:sectPr>
          <w:pgSz w:w="11906" w:h="16838"/>
          <w:pgMar w:top="1440" w:right="1800" w:bottom="1440" w:left="1800" w:header="851" w:footer="992" w:gutter="0"/>
          <w:pgNumType w:fmt="decimal"/>
          <w:cols w:space="425" w:num="1"/>
          <w:docGrid w:type="lines" w:linePitch="312" w:charSpace="0"/>
        </w:sectPr>
      </w:pPr>
    </w:p>
    <w:p>
      <w:pPr>
        <w:pStyle w:val="24"/>
      </w:pPr>
      <w:bookmarkStart w:id="173" w:name="_Toc216945850"/>
      <w:bookmarkStart w:id="174" w:name="OLE_LINK51"/>
      <w:r>
        <w:t>第十章 着力文化铸魂 彰显民族特色现代文明</w:t>
      </w:r>
      <w:bookmarkEnd w:id="173"/>
    </w:p>
    <w:bookmarkEnd w:id="174"/>
    <w:p>
      <w:pPr>
        <w:pStyle w:val="25"/>
        <w:ind w:firstLine="600"/>
        <w:rPr>
          <w:rFonts w:ascii="Times New Roman" w:hAnsi="Times New Roman" w:cs="Times New Roman"/>
        </w:rPr>
      </w:pPr>
      <w:r>
        <w:rPr>
          <w:rFonts w:ascii="Times New Roman" w:hAnsi="Times New Roman" w:cs="Times New Roman"/>
        </w:rPr>
        <w:t>坚定文化自信，围绕举旗帜、聚民心、展形象使命任务，提升社会主义先进文化传播力和影响力，强化新晃地域文化保护传承和守正创新，加快建设文化强县。</w:t>
      </w:r>
    </w:p>
    <w:p>
      <w:pPr>
        <w:pStyle w:val="29"/>
        <w:numPr>
          <w:ilvl w:val="0"/>
          <w:numId w:val="12"/>
        </w:numPr>
        <w:rPr>
          <w:rFonts w:ascii="Times New Roman" w:hAnsi="Times New Roman" w:cs="Times New Roman"/>
          <w:lang w:val="en-GB"/>
        </w:rPr>
      </w:pPr>
      <w:bookmarkStart w:id="175" w:name="_Toc216945851"/>
      <w:r>
        <w:rPr>
          <w:rFonts w:ascii="Times New Roman" w:hAnsi="Times New Roman" w:cs="Times New Roman"/>
          <w:lang w:val="en-GB"/>
        </w:rPr>
        <w:t>以社会主义核心价值观涵育精神文明</w:t>
      </w:r>
      <w:bookmarkEnd w:id="175"/>
    </w:p>
    <w:p>
      <w:pPr>
        <w:pStyle w:val="25"/>
        <w:ind w:firstLine="602"/>
        <w:rPr>
          <w:rFonts w:ascii="Times New Roman" w:hAnsi="Times New Roman" w:cs="Times New Roman"/>
          <w:lang w:val="en-GB"/>
        </w:rPr>
      </w:pPr>
      <w:r>
        <w:rPr>
          <w:rFonts w:ascii="Times New Roman" w:hAnsi="Times New Roman" w:cs="Times New Roman"/>
          <w:b/>
          <w:bCs/>
          <w:lang w:val="en-GB"/>
        </w:rPr>
        <w:t>深化理论武装与思想引领。</w:t>
      </w:r>
      <w:r>
        <w:rPr>
          <w:rFonts w:ascii="Times New Roman" w:hAnsi="Times New Roman" w:cs="Times New Roman"/>
          <w:lang w:val="en-GB"/>
        </w:rPr>
        <w:t>坚持不懈用党的创新理论凝心铸魂。把学习贯彻习近平新时代中国特色社会主义思想作为首要政治任务，健全用党的创新理论武装全党、教育人民、指导实践的工作体系。实施“龙溪讲坛”传播工程，组建县乡两级理论宣讲团，依托新时代文明实践中心（所、站）、县级融媒体中心等阵地，开展对象化、分众化、互动化宣讲活动，推动党的创新理论进机关、进企业、进社区、进乡村、进校园、进网络。将社会主义核心价值观深度融入国民教育体系，贯穿于基础教育、职业教育、继续教育各领域，引导青少年扣好人生第一粒扣子。</w:t>
      </w:r>
    </w:p>
    <w:p>
      <w:pPr>
        <w:pStyle w:val="25"/>
        <w:ind w:firstLine="602"/>
        <w:rPr>
          <w:rFonts w:ascii="Times New Roman" w:hAnsi="Times New Roman" w:cs="Times New Roman"/>
          <w:lang w:val="en-GB"/>
        </w:rPr>
      </w:pPr>
      <w:r>
        <w:rPr>
          <w:rFonts w:ascii="Times New Roman" w:hAnsi="Times New Roman" w:eastAsia="楷体" w:cs="Times New Roman"/>
          <w:b/>
          <w:bCs/>
          <w:lang w:val="en-GB"/>
        </w:rPr>
        <w:t>传承红色基因与赓续精神血脉。</w:t>
      </w:r>
      <w:r>
        <w:rPr>
          <w:rFonts w:ascii="Times New Roman" w:hAnsi="Times New Roman" w:cs="Times New Roman"/>
          <w:lang w:val="en-GB"/>
        </w:rPr>
        <w:t>加强爱国主义和革命传统教育。深入挖掘和利用新晃丰富的红色文化资源，加强对红二、六军团长征旧址、便水战役暮山坪前线指挥部旧址群等革命文物的保护修缮和展示利用，打造一批具有影响力的爱国主义教育基地和红色旅游精品线路。结合重大纪念日、传统节日，组织开展“清明祭英烈”“开学第一课”、重温入党入团誓词等有庄严感和教育意义的仪式活动。编写《新晃红色故事汇》等地方读物，通过历史事实、实物实景、文艺作品，生动传播红色文化，不断坚定理想信念，传承奋斗精神。持续推进湘黔边界铸牢中华民族共同体意识示范区建设，巩固全国民族团结进步示范县创建成果并持续创建。</w:t>
      </w:r>
    </w:p>
    <w:p>
      <w:pPr>
        <w:pStyle w:val="25"/>
        <w:ind w:firstLine="602"/>
        <w:rPr>
          <w:rFonts w:ascii="Times New Roman" w:hAnsi="Times New Roman" w:cs="Times New Roman"/>
          <w:lang w:val="en-GB"/>
        </w:rPr>
      </w:pPr>
      <w:r>
        <w:rPr>
          <w:rFonts w:ascii="Times New Roman" w:hAnsi="Times New Roman" w:eastAsia="楷体" w:cs="Times New Roman"/>
          <w:b/>
          <w:bCs/>
          <w:lang w:val="en-GB"/>
        </w:rPr>
        <w:t>推进道德建设与文明风尚培育。</w:t>
      </w:r>
      <w:r>
        <w:rPr>
          <w:rFonts w:ascii="Times New Roman" w:hAnsi="Times New Roman" w:cs="Times New Roman"/>
          <w:lang w:val="en-GB"/>
        </w:rPr>
        <w:t>持续深化社会公德、职业道德、家庭美德、个人品德建设。大力选树和宣传时代楷模、道德模范、身边好人、最美人物等先进典型，广泛开展“榜样力量·德耀新晃”学习宣传活动，用榜样的力量激励人、鼓舞人。深入推进新时代精神文明创建，持续培育文明村镇、文明单位、文明家庭、文明校园，提升创建内涵和质量。持续深化移风易俗，发挥村规民约、居民公约的约束作用和红白理事会、道德评议会等群众组织的劝导作用，培育文明乡风、良好家风、淳朴民风，全面提升社会文明程度。</w:t>
      </w:r>
    </w:p>
    <w:p>
      <w:pPr>
        <w:pStyle w:val="29"/>
        <w:numPr>
          <w:ilvl w:val="0"/>
          <w:numId w:val="12"/>
        </w:numPr>
        <w:rPr>
          <w:rFonts w:ascii="Times New Roman" w:hAnsi="Times New Roman" w:cs="Times New Roman"/>
          <w:lang w:val="en-GB"/>
        </w:rPr>
      </w:pPr>
      <w:bookmarkStart w:id="176" w:name="_Toc216945852"/>
      <w:r>
        <w:rPr>
          <w:rFonts w:ascii="Times New Roman" w:hAnsi="Times New Roman" w:cs="Times New Roman"/>
          <w:lang w:val="en-GB"/>
        </w:rPr>
        <w:t>以传统文化保护利用激活文化基因</w:t>
      </w:r>
      <w:bookmarkEnd w:id="176"/>
    </w:p>
    <w:p>
      <w:pPr>
        <w:pStyle w:val="25"/>
        <w:ind w:firstLine="602"/>
        <w:rPr>
          <w:rFonts w:ascii="Times New Roman" w:hAnsi="Times New Roman" w:cs="Times New Roman"/>
        </w:rPr>
      </w:pPr>
      <w:r>
        <w:rPr>
          <w:rFonts w:ascii="Times New Roman" w:hAnsi="Times New Roman" w:eastAsia="楷体" w:cs="Times New Roman"/>
          <w:b/>
          <w:bCs/>
        </w:rPr>
        <w:t>系统推进文化遗产保护传承。</w:t>
      </w:r>
      <w:r>
        <w:rPr>
          <w:rFonts w:ascii="Times New Roman" w:hAnsi="Times New Roman" w:cs="Times New Roman"/>
        </w:rPr>
        <w:t>高质量完成第四次全国文物普查，建立全县不可移动文物资源总目录和数据库，并纳入国土空间规划“一张图”实施监管。实施重点文物抢救性保护和预防性保护工程，重点推进红二、六军团长征龙溪口会议旧址、便水战役暮山坪前线指挥部旧址群—唐伯赓故居等革命文物的修缮与展示利用。加强侗族村寨、古驿道、古建筑等历史文化遗产的系统性保护。</w:t>
      </w:r>
    </w:p>
    <w:p>
      <w:pPr>
        <w:pStyle w:val="25"/>
        <w:ind w:firstLine="602"/>
        <w:rPr>
          <w:rFonts w:ascii="Times New Roman" w:hAnsi="Times New Roman" w:cs="Times New Roman"/>
        </w:rPr>
      </w:pPr>
      <w:r>
        <w:rPr>
          <w:rFonts w:ascii="Times New Roman" w:hAnsi="Times New Roman" w:eastAsia="楷体" w:cs="Times New Roman"/>
          <w:b/>
          <w:bCs/>
        </w:rPr>
        <w:t>推动非遗活态传承与创新发展。</w:t>
      </w:r>
      <w:r>
        <w:rPr>
          <w:rFonts w:ascii="Times New Roman" w:hAnsi="Times New Roman" w:cs="Times New Roman"/>
        </w:rPr>
        <w:t>实施非遗名录体系扩容计划，推进侗族医药、传统手工弩制作技艺、新晃黄精炮制工艺等申报工作，对刀梯舞狮等12项濒危项目开展抢救性记录。推进数字化保护工程，建成非遗基因库，运用三维扫描等技术完成市级以上非遗藏品数字化，开发VR非遗体验馆，实现傩戏、“咚咚推”“侗族大歌”等5项核心技艺沉浸式展示。完善传承人保护机制，实施“银发传承”计划，在中寨、贡溪、凉伞、晃州等中小学建设侗族文化传承基地。加强地方戏曲保护振兴，深化对汉戏、傩戏等项目的挖掘、整理与活态传承。推动非遗与现代生活深度融合，打造龙溪古镇非遗活态传承街区，开发非遗主题研学路线。挖掘驿道文化、夜郎文化内涵，推动侗族大歌、侗锦、侗族傩戏等非物质文化遗产融入现代生活，鼓励开发具有市场价值的文创产品。升级改造村级文化礼堂，配备完善文化活动设施，使其成为非遗展示、传承与体验的重要节点。推动非遗产业创新，打造“侗艺工坊”品牌，建立非遗IP库，对16项核心非遗进行商业化授权，构建“保护—传承—创新—发展”的非遗生态链，力争将新晃建设成为侗族文化活态传承标杆县。</w:t>
      </w:r>
    </w:p>
    <w:p>
      <w:pPr>
        <w:pStyle w:val="25"/>
        <w:ind w:firstLine="602"/>
        <w:rPr>
          <w:rFonts w:ascii="Times New Roman" w:hAnsi="Times New Roman" w:cs="Times New Roman"/>
        </w:rPr>
      </w:pPr>
      <w:r>
        <w:rPr>
          <w:rFonts w:ascii="Times New Roman" w:hAnsi="Times New Roman" w:eastAsia="楷体" w:cs="Times New Roman"/>
          <w:b/>
          <w:bCs/>
        </w:rPr>
        <w:t>打造湘黔边区文旅发展新高地。</w:t>
      </w:r>
      <w:r>
        <w:rPr>
          <w:rFonts w:ascii="Times New Roman" w:hAnsi="Times New Roman" w:cs="Times New Roman"/>
        </w:rPr>
        <w:t>坚持以文塑旅、以旅彰文，围绕“古韵悠然·康养新晃”品牌定位，系统构建“一心一圈多点”全域旅游格局，推动文化资源向旅游产品转化、旅游体验向文化消费升级。深化“重走西南联大路”文化IP打造，将其升级为区域性标杆研学产品。重点推进龙溪古镇、夜郎大峡谷、汆岩旅游度假区等核心景区提质升级，创建国家4A级旅游景区和省级旅游度假区。深化与贵州玉屏、万山等周边地区协作，共建跨省精品线路，联合开展市场推广，打造湘黔黄金旅游带。完善旅游基础设施，推动旅游公路、停车场、星级酒店、特色民宿等配套建设，提升旅游接待能力和服务水平。创新节庆营销，固化“每月一节”品牌节会，持续扩大新晃旅游影响力、吸引力和竞争力。</w:t>
      </w:r>
    </w:p>
    <w:tbl>
      <w:tblPr>
        <w:tblStyle w:val="19"/>
        <w:tblW w:w="8276"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2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pPr>
              <w:pStyle w:val="25"/>
              <w:ind w:firstLine="0" w:firstLineChars="0"/>
              <w:jc w:val="center"/>
              <w:rPr>
                <w:rFonts w:ascii="Times New Roman" w:hAnsi="Times New Roman" w:cs="Times New Roman"/>
                <w:b/>
                <w:bCs/>
                <w:lang w:val="en-GB"/>
              </w:rPr>
            </w:pPr>
            <w:r>
              <w:rPr>
                <w:rFonts w:ascii="Times New Roman" w:hAnsi="Times New Roman" w:cs="Times New Roman"/>
                <w:b/>
                <w:bCs/>
                <w:lang w:val="en-GB"/>
              </w:rPr>
              <w:t>专栏十五：文旅融合提质工程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276" w:type="dxa"/>
          </w:tcPr>
          <w:p>
            <w:pPr>
              <w:pStyle w:val="46"/>
              <w:ind w:firstLine="562"/>
              <w:rPr>
                <w:rFonts w:ascii="Times New Roman" w:hAnsi="Times New Roman" w:cs="Times New Roman"/>
              </w:rPr>
            </w:pPr>
            <w:r>
              <w:rPr>
                <w:rFonts w:ascii="Times New Roman" w:hAnsi="Times New Roman" w:cs="Times New Roman"/>
                <w:b/>
                <w:bCs w:val="0"/>
              </w:rPr>
              <w:t>旅游基础设施提升工程。</w:t>
            </w:r>
            <w:r>
              <w:rPr>
                <w:rFonts w:ascii="Times New Roman" w:hAnsi="Times New Roman" w:cs="Times New Roman"/>
              </w:rPr>
              <w:t>夯实文旅产业发展根基，系统推进旅游基础设施提质扩容。（1）完善旅游交通网络，重点实施两河口—向家地、水洞村部—汆岩、毛溪口—高寨—向家地—塘家坝、米贝街上—烂泥等关键旅游公路的提质改造，打通景区连接的“最后一公里”。（2）强化接待设施承载能力，通过新建黄家垅森林公园北出口、天井寨路口、龙溪古镇长滩出口等生态停车场缓解“停车难”问题；着力提升住宿餐饮服务水平，规划创建3家三星级以上酒店，建成10家彰显侗乡风情的主题精品民宿，扶持培育3家特色旅游接待餐馆，构建结构完善、品质优良的旅游接待体系。</w:t>
            </w:r>
          </w:p>
          <w:p>
            <w:pPr>
              <w:pStyle w:val="46"/>
              <w:ind w:firstLine="562"/>
              <w:rPr>
                <w:rFonts w:ascii="Times New Roman" w:hAnsi="Times New Roman" w:cs="Times New Roman"/>
              </w:rPr>
            </w:pPr>
            <w:r>
              <w:rPr>
                <w:rFonts w:ascii="Times New Roman" w:hAnsi="Times New Roman" w:cs="Times New Roman"/>
                <w:b/>
                <w:bCs w:val="0"/>
              </w:rPr>
              <w:t>文旅品牌创建工程。</w:t>
            </w:r>
            <w:r>
              <w:rPr>
                <w:rFonts w:ascii="Times New Roman" w:hAnsi="Times New Roman" w:cs="Times New Roman"/>
              </w:rPr>
              <w:t>集中资源开展高等级旅游品牌创建，以核心景区突破引领全域旅游品质跃升。（1）聚焦核心资源进行精品化打造，力争将夜郎大峡谷创建为国家4A级旅游景区；打造汆岩省级旅游度假区。（2）培育新旅游增长点，推动波洲桂花岛、天井寨创建国家3A级旅游景区，建成集观光、运动、休闲于一体的㵲水风光带及水上运动中心项目，形成“拳头产品引领、多元业态支撑”的品牌矩阵，显著提升新晃旅游的核心吸引力。</w:t>
            </w:r>
          </w:p>
          <w:p>
            <w:pPr>
              <w:pStyle w:val="46"/>
              <w:ind w:firstLine="562"/>
              <w:rPr>
                <w:rFonts w:ascii="Times New Roman" w:hAnsi="Times New Roman" w:cs="Times New Roman"/>
              </w:rPr>
            </w:pPr>
            <w:r>
              <w:rPr>
                <w:rFonts w:ascii="Times New Roman" w:hAnsi="Times New Roman" w:cs="Times New Roman"/>
                <w:b/>
                <w:bCs w:val="0"/>
              </w:rPr>
              <w:t>跨区域旅游协作工程。</w:t>
            </w:r>
            <w:r>
              <w:rPr>
                <w:rFonts w:ascii="Times New Roman" w:hAnsi="Times New Roman" w:cs="Times New Roman"/>
              </w:rPr>
              <w:t>深化湘黔边区旅游一体化合作。（1）线路整合上，与贵州玉屏、万山等地协同规划，分期推出如“寻找逝去的足迹之旅”（万山矿山公园—新晃汞矿）、“梵天净土养生之旅”（梵净山—夜郎大峡谷—桂花岛）等跨省精品主题线路。（2）开发与机制层面，推动夜郎大峡谷等交界景区的联合开发与运营，建立客源互送、宣传互换、联合营销的常态化合作机制，共同打造湘黔黄金旅游带，实现从“景点旅游”到“区域旅游”的跨越。</w:t>
            </w:r>
          </w:p>
          <w:p>
            <w:pPr>
              <w:pStyle w:val="46"/>
              <w:ind w:firstLine="562"/>
              <w:rPr>
                <w:rFonts w:ascii="Times New Roman" w:hAnsi="Times New Roman" w:cs="Times New Roman"/>
                <w:bCs w:val="0"/>
              </w:rPr>
            </w:pPr>
            <w:r>
              <w:rPr>
                <w:rFonts w:ascii="Times New Roman" w:hAnsi="Times New Roman" w:cs="Times New Roman"/>
                <w:b/>
              </w:rPr>
              <w:t>“重走西南联大路”文化IP打造工程：</w:t>
            </w:r>
            <w:r>
              <w:rPr>
                <w:rFonts w:ascii="Times New Roman" w:hAnsi="Times New Roman" w:cs="Times New Roman"/>
                <w:bCs w:val="0"/>
              </w:rPr>
              <w:t>将“西南联大”文化IP转化为可持续的文旅产品与教育合作平台。（1）联合南开、北大、清华等高校，优化“重走西南联大路”研学内容，融入校史教育、学科实践，打造具有深度体验感的研学产品。（2）在龙溪古镇建设“西南联大文化巨匠西迁纪念馆”，引入高校史料与专家资源，打造权威性文化展示与研学基地。（3）依托IP开展“名师领航计划”“未来英才夏令营”等教育合作，邀请三校附属中学名师对新晃教师进行培训，选拔本地优秀学生参与高校研学，提升基础教育质量与人才吸引力。（4）将“重走西南联大路”纳入规划旅游线路。</w:t>
            </w:r>
          </w:p>
          <w:p>
            <w:pPr>
              <w:pStyle w:val="46"/>
              <w:ind w:firstLine="562"/>
              <w:rPr>
                <w:rFonts w:ascii="Times New Roman" w:hAnsi="Times New Roman" w:cs="Times New Roman"/>
              </w:rPr>
            </w:pPr>
            <w:r>
              <w:rPr>
                <w:rFonts w:ascii="Times New Roman" w:hAnsi="Times New Roman" w:cs="Times New Roman"/>
                <w:b/>
                <w:bCs w:val="0"/>
              </w:rPr>
              <w:t>乡村旅游振兴工程。</w:t>
            </w:r>
            <w:r>
              <w:rPr>
                <w:rFonts w:ascii="Times New Roman" w:hAnsi="Times New Roman" w:cs="Times New Roman"/>
              </w:rPr>
              <w:t>通过文旅融合赋能乡村振兴，将生态与文化优势转化为发展动能。（1）重点构建差异化、特色化的乡村旅游产品体系，打造以向家地（湘西药谷）、仙人桥、大桥溪、双岩、波洲桂花岛、两岔溪、天井寨、皂溪为核心的四大生态休闲乡村旅游区。开发“一镇一菜”特色美食产品，完善“吃住游购”全链条文旅消费体验，促进农餐旅融合。（2）丰富旅游新业态，在汆岩旅游度假区配套建设自驾车旅居营地和户外露营地，满足新兴市场需求。（3）持续营造旅游热点，通过创新并固化“十二节”月月节庆活动，形成持续的市场吸引力，实现以旅促农、以旅富民的乡村发展新格局。</w:t>
            </w:r>
          </w:p>
        </w:tc>
      </w:tr>
    </w:tbl>
    <w:p>
      <w:pPr>
        <w:pStyle w:val="29"/>
        <w:numPr>
          <w:ilvl w:val="0"/>
          <w:numId w:val="12"/>
        </w:numPr>
        <w:rPr>
          <w:rFonts w:ascii="Times New Roman" w:hAnsi="Times New Roman" w:cs="Times New Roman"/>
          <w:lang w:val="en-GB"/>
        </w:rPr>
      </w:pPr>
      <w:bookmarkStart w:id="177" w:name="_Toc216945853"/>
      <w:r>
        <w:rPr>
          <w:rFonts w:ascii="Times New Roman" w:hAnsi="Times New Roman" w:cs="Times New Roman"/>
          <w:lang w:val="en-GB"/>
        </w:rPr>
        <w:t>以文化事业繁荣发展擦亮民族名片</w:t>
      </w:r>
      <w:bookmarkEnd w:id="177"/>
    </w:p>
    <w:p>
      <w:pPr>
        <w:pStyle w:val="25"/>
        <w:ind w:firstLine="602"/>
        <w:rPr>
          <w:rFonts w:ascii="Times New Roman" w:hAnsi="Times New Roman" w:cs="Times New Roman"/>
        </w:rPr>
      </w:pPr>
      <w:r>
        <w:rPr>
          <w:rFonts w:ascii="Times New Roman" w:hAnsi="Times New Roman" w:eastAsia="楷体" w:cs="Times New Roman"/>
          <w:b/>
          <w:bCs/>
        </w:rPr>
        <w:t>完善现代公共文化服务体系。</w:t>
      </w:r>
      <w:r>
        <w:rPr>
          <w:rFonts w:ascii="Times New Roman" w:hAnsi="Times New Roman" w:cs="Times New Roman"/>
        </w:rPr>
        <w:t>坚持政府主导，建立公共文化服务财政保障机制，确保文化投入随财政收入增长稳步增加。优化城乡文化资源配置，推动县级文化场馆、乡镇综合文化站、村级综合文化服务中心与新时代文明实践中心（所、站）阵地共建、活动共联、资源共享，构建“15分钟公共文化服务圈”。加快完善公共文化馆、图书馆内部设施功能及数字化建设，推动文化馆成为集辅导、培训、排练、展演于一体的多功能主阵地，力争建成国家二级文化馆。探索智慧化服务模式，推广移动端借阅管理、AI咨询系统，强化与县融媒体中心联动，扩大数字文化传播覆盖面。延续总分馆制试点经验，构建覆盖城乡的阅读服务体系，强化对乡、村分馆的业务指导。针对农村儿童、老年人等群体，拓展绘本阅读、流动图书车等服务，利用政府购买服务补充村级文化力量。</w:t>
      </w:r>
    </w:p>
    <w:p>
      <w:pPr>
        <w:pStyle w:val="25"/>
        <w:ind w:firstLine="602"/>
        <w:rPr>
          <w:rFonts w:ascii="Times New Roman" w:hAnsi="Times New Roman" w:cs="Times New Roman"/>
        </w:rPr>
      </w:pPr>
      <w:r>
        <w:rPr>
          <w:rFonts w:ascii="Times New Roman" w:hAnsi="Times New Roman" w:eastAsia="楷体" w:cs="Times New Roman"/>
          <w:b/>
          <w:bCs/>
        </w:rPr>
        <w:t>推动文艺创作繁荣发展。</w:t>
      </w:r>
      <w:r>
        <w:rPr>
          <w:rFonts w:ascii="Times New Roman" w:hAnsi="Times New Roman" w:cs="Times New Roman"/>
        </w:rPr>
        <w:t>完善文艺创作引导扶持机制，大力实施文化精品战略，创新“五个一工程”、重点文艺艺术作品扶持工程、优秀少儿作品创作工程、舞台艺术精品创作生产，不断开拓新的题材领域和艺术样式。鼓励文艺工作者深入生活、扎根人民，创作一批展现时代精神、富有新晃特色的文艺精品。重点组织参加省艺术节、全国少数民族文艺调演、欢乐潇湘等国家、省级重大文艺赛事展演，力争每年有2个以上作品入选国家、省、市“五个一工程”等奖项。</w:t>
      </w:r>
    </w:p>
    <w:p>
      <w:pPr>
        <w:pStyle w:val="25"/>
        <w:ind w:firstLine="602"/>
        <w:rPr>
          <w:rFonts w:ascii="Times New Roman" w:hAnsi="Times New Roman" w:cs="Times New Roman"/>
          <w:lang w:val="en-GB"/>
        </w:rPr>
      </w:pPr>
      <w:r>
        <w:rPr>
          <w:rFonts w:ascii="Times New Roman" w:hAnsi="Times New Roman" w:eastAsia="楷体" w:cs="Times New Roman"/>
          <w:b/>
          <w:bCs/>
        </w:rPr>
        <w:t>加强文化人才队伍建设。</w:t>
      </w:r>
      <w:r>
        <w:rPr>
          <w:rFonts w:ascii="Times New Roman" w:hAnsi="Times New Roman" w:cs="Times New Roman"/>
        </w:rPr>
        <w:t>实施文化人才引育工程，加大对专业文化人才的引进力度，健全本土人才培养体系。加强与院校、行业机构合作，培养本土文化骨干。加强专业技能培训，引进复合型人才，完善“结对子”辅导机制，培育乡村文化志愿者团队。壮大文旅志愿服务队伍，创新服务形式与内容，提升公共文化服务的覆盖面和实效性。</w:t>
      </w:r>
    </w:p>
    <w:p>
      <w:pPr>
        <w:pStyle w:val="24"/>
        <w:sectPr>
          <w:pgSz w:w="11906" w:h="16838"/>
          <w:pgMar w:top="1440" w:right="1800" w:bottom="1440" w:left="1800" w:header="851" w:footer="992" w:gutter="0"/>
          <w:pgNumType w:fmt="decimal"/>
          <w:cols w:space="425" w:num="1"/>
          <w:docGrid w:type="lines" w:linePitch="312" w:charSpace="0"/>
        </w:sectPr>
      </w:pPr>
    </w:p>
    <w:p>
      <w:pPr>
        <w:pStyle w:val="24"/>
        <w:rPr>
          <w:spacing w:val="-11"/>
        </w:rPr>
      </w:pPr>
      <w:bookmarkStart w:id="178" w:name="_Toc216945854"/>
      <w:r>
        <w:rPr>
          <w:spacing w:val="-11"/>
        </w:rPr>
        <w:t>第十一章 注重生态优先 打造武陵山区生态价值典范</w:t>
      </w:r>
      <w:bookmarkEnd w:id="178"/>
    </w:p>
    <w:p>
      <w:pPr>
        <w:pStyle w:val="25"/>
        <w:ind w:firstLine="600"/>
        <w:rPr>
          <w:rFonts w:ascii="Times New Roman" w:hAnsi="Times New Roman" w:cs="Times New Roman"/>
          <w:lang w:val="en-GB"/>
        </w:rPr>
      </w:pPr>
      <w:r>
        <w:rPr>
          <w:rFonts w:ascii="Times New Roman" w:hAnsi="Times New Roman" w:cs="Times New Roman"/>
          <w:lang w:val="en-GB"/>
        </w:rPr>
        <w:t>牢固树立“绿水青山就是金山银山”理念，以建设武陵山区生态宜居典范为目标，聚焦生态修复、环境治理、绿色发展三大任务，构建生态安全、环境优美、产业绿色、制度健全的生态文明建设体系，实现生态保护与经济发展互促共赢。</w:t>
      </w:r>
    </w:p>
    <w:p>
      <w:pPr>
        <w:pStyle w:val="29"/>
        <w:numPr>
          <w:ilvl w:val="0"/>
          <w:numId w:val="13"/>
        </w:numPr>
        <w:rPr>
          <w:rFonts w:ascii="Times New Roman" w:hAnsi="Times New Roman" w:cs="Times New Roman"/>
        </w:rPr>
      </w:pPr>
      <w:bookmarkStart w:id="179" w:name="_Toc216945855"/>
      <w:r>
        <w:rPr>
          <w:rFonts w:ascii="Times New Roman" w:hAnsi="Times New Roman" w:cs="Times New Roman"/>
        </w:rPr>
        <w:t>筑牢区域生态安全屏障</w:t>
      </w:r>
      <w:bookmarkEnd w:id="179"/>
    </w:p>
    <w:p>
      <w:pPr>
        <w:pStyle w:val="25"/>
        <w:ind w:firstLine="600"/>
        <w:rPr>
          <w:rFonts w:ascii="Times New Roman" w:hAnsi="Times New Roman" w:cs="Times New Roman"/>
          <w:lang w:val="en-GB"/>
        </w:rPr>
      </w:pPr>
      <w:r>
        <w:rPr>
          <w:rFonts w:ascii="Times New Roman" w:hAnsi="Times New Roman" w:cs="Times New Roman"/>
          <w:lang w:val="en-GB"/>
        </w:rPr>
        <w:t>以国家重点生态功能区建设为核心，强化生态红线刚性约束，构建以“三山四水”为骨架、自然保护地为节点、生态廊道为纽带的全域生态安全格局，全面提升生态系统质量和稳定性。</w:t>
      </w:r>
    </w:p>
    <w:p>
      <w:pPr>
        <w:pStyle w:val="25"/>
        <w:ind w:firstLine="602"/>
        <w:rPr>
          <w:rFonts w:ascii="Times New Roman" w:hAnsi="Times New Roman" w:cs="Times New Roman"/>
          <w:lang w:val="en-GB"/>
        </w:rPr>
      </w:pPr>
      <w:r>
        <w:rPr>
          <w:rFonts w:ascii="Times New Roman" w:hAnsi="Times New Roman" w:eastAsia="楷体" w:cs="Times New Roman"/>
          <w:b/>
          <w:bCs/>
          <w:lang w:val="en-GB"/>
        </w:rPr>
        <w:t>严格落实生态空间用途管制与红线守护。</w:t>
      </w:r>
      <w:r>
        <w:rPr>
          <w:rFonts w:ascii="Times New Roman" w:hAnsi="Times New Roman" w:cs="Times New Roman"/>
          <w:lang w:val="en-GB"/>
        </w:rPr>
        <w:t>严格落实生态保护红线管控要求，坚决禁止不符合主体功能定位的开发活动。加强对天雷山森林公园、黄家垅森林公园、汆岩地质公园、步头降右旋龙脑樟母树基地等重点自然生态区的勘界立标和规范化管理，开展自然保护地体系保护建设，完善基础设施与规范化管理。推进生态保护红线纳入国土空间规划“一张图”实施严格监管，确保404.07平方公里生态红线面积不减少、功能不降低、性质不改变。系统实施古树名木保护，开展全面普查与常态化养护管理。</w:t>
      </w:r>
    </w:p>
    <w:p>
      <w:pPr>
        <w:pStyle w:val="25"/>
        <w:ind w:firstLine="602"/>
        <w:rPr>
          <w:rFonts w:ascii="Times New Roman" w:hAnsi="Times New Roman" w:cs="Times New Roman"/>
          <w:lang w:val="en-GB"/>
        </w:rPr>
      </w:pPr>
      <w:r>
        <w:rPr>
          <w:rFonts w:ascii="Times New Roman" w:hAnsi="Times New Roman" w:eastAsia="楷体" w:cs="Times New Roman"/>
          <w:b/>
          <w:bCs/>
          <w:lang w:val="en-GB"/>
        </w:rPr>
        <w:t>系统推进生态修复与综合治理。</w:t>
      </w:r>
      <w:r>
        <w:rPr>
          <w:rFonts w:ascii="Times New Roman" w:hAnsi="Times New Roman" w:cs="Times New Roman"/>
          <w:lang w:val="en-GB"/>
        </w:rPr>
        <w:t>重点实施山水林田湖草生态修复工程，持续推进92万亩生态公益林、天然商品林保护，实施20万亩生态修复工程，对历史遗留矿山、水土流失区、退化林地进行生态治理。全面推进坡耕地水土流失综合治理，开展三江溪生态清洁小流域建设，逐步推进钟湾溪、毛溪、木铎溪等小流域综合治理，实施一体化推进水土保持项目，提升水源涵养能力。深入开展森林质量精准提升工程，实施中幼龄林抚育、低质低效林改造，推进㵲水、平溪等流域水生态修复和岸线整治，实施中和溪流域水环境综合治理，开展黄鳝垅片区生态环境系统整治，增强水源涵养与水土保持功能。</w:t>
      </w:r>
    </w:p>
    <w:p>
      <w:pPr>
        <w:pStyle w:val="25"/>
        <w:ind w:firstLine="602"/>
        <w:rPr>
          <w:rFonts w:ascii="Times New Roman" w:hAnsi="Times New Roman" w:cs="Times New Roman"/>
        </w:rPr>
      </w:pPr>
      <w:r>
        <w:rPr>
          <w:rFonts w:ascii="Times New Roman" w:hAnsi="Times New Roman" w:eastAsia="楷体" w:cs="Times New Roman"/>
          <w:b/>
          <w:bCs/>
          <w:lang w:val="en-GB"/>
        </w:rPr>
        <w:t>强化生物多样性保护与生态廊道建设。</w:t>
      </w:r>
      <w:r>
        <w:rPr>
          <w:rFonts w:ascii="Times New Roman" w:hAnsi="Times New Roman" w:cs="Times New Roman"/>
        </w:rPr>
        <w:t>构建以武陵山余脉为核心，㵲水、平溪、野鸡河、碧涌溪为脉络的生物多样性保护网络。持续开展水生生物增殖放流，年增殖放流四大家鱼600万尾以上。推进珍稀濒危物种栖息地保护和生态廊道建设，连通孤立生境。加强外来入侵物种防控，系统开展森林病虫害防治，清理马尾松枯死树，完善生物多样性监测体系，保护县域野生动物主要栖息地和典型植被群落，维护生态系统的完整性和原真性。</w:t>
      </w:r>
    </w:p>
    <w:p>
      <w:pPr>
        <w:pStyle w:val="29"/>
        <w:numPr>
          <w:ilvl w:val="0"/>
          <w:numId w:val="13"/>
        </w:numPr>
        <w:rPr>
          <w:rFonts w:ascii="Times New Roman" w:hAnsi="Times New Roman" w:cs="Times New Roman"/>
        </w:rPr>
      </w:pPr>
      <w:bookmarkStart w:id="180" w:name="_Toc216945856"/>
      <w:r>
        <w:rPr>
          <w:rFonts w:ascii="Times New Roman" w:hAnsi="Times New Roman" w:cs="Times New Roman"/>
        </w:rPr>
        <w:t>打好污染防治攻坚战役</w:t>
      </w:r>
      <w:bookmarkEnd w:id="180"/>
    </w:p>
    <w:p>
      <w:pPr>
        <w:pStyle w:val="25"/>
        <w:ind w:firstLine="600"/>
        <w:rPr>
          <w:rFonts w:ascii="Times New Roman" w:hAnsi="Times New Roman" w:cs="Times New Roman"/>
          <w:lang w:val="en-GB"/>
        </w:rPr>
      </w:pPr>
      <w:r>
        <w:rPr>
          <w:rFonts w:ascii="Times New Roman" w:hAnsi="Times New Roman" w:cs="Times New Roman"/>
          <w:lang w:val="en-GB"/>
        </w:rPr>
        <w:t>以系统治理、精准防控、机制创新为主线，统筹山水林田湖草一体化保护与修复，推动生态环境质量持续改善。</w:t>
      </w:r>
    </w:p>
    <w:p>
      <w:pPr>
        <w:pStyle w:val="25"/>
        <w:ind w:firstLine="602"/>
        <w:rPr>
          <w:rFonts w:ascii="Times New Roman" w:hAnsi="Times New Roman" w:cs="Times New Roman"/>
          <w:lang w:val="en-GB"/>
        </w:rPr>
      </w:pPr>
      <w:r>
        <w:rPr>
          <w:rFonts w:ascii="Times New Roman" w:hAnsi="Times New Roman" w:eastAsia="楷体" w:cs="Times New Roman"/>
          <w:b/>
          <w:bCs/>
          <w:lang w:val="en-GB"/>
        </w:rPr>
        <w:t>推进水环境系统治理。</w:t>
      </w:r>
      <w:r>
        <w:rPr>
          <w:rFonts w:ascii="Times New Roman" w:hAnsi="Times New Roman" w:cs="Times New Roman"/>
          <w:lang w:val="en-GB"/>
        </w:rPr>
        <w:t>以㵲水、平溪、野鸡河、碧涌溪等主要流域为重点，持续推进河湖生态缓冲带建设与湿地修复工程。全面开展入河排污口规范化建设，对全县321个保留排污口实施统一编码、立标和在线监控。推进全县11个乡镇千人以上饮用水源地及县城饮用水源地规范化建设与水质监测，强化饮用水源地规范化管理和水质监测预警。开展扶罗片区水环境综合治理，建设污水管网、生态护坡，实施垃圾治理。构建“源头减排—过程控制—末端治理”全链条水环境治理体系，确保地表水水质稳定达到或优于Ⅲ类标准。</w:t>
      </w:r>
    </w:p>
    <w:p>
      <w:pPr>
        <w:pStyle w:val="25"/>
        <w:ind w:firstLine="602"/>
        <w:rPr>
          <w:rFonts w:ascii="Times New Roman" w:hAnsi="Times New Roman" w:cs="Times New Roman"/>
          <w:lang w:val="en-GB"/>
        </w:rPr>
      </w:pPr>
      <w:r>
        <w:rPr>
          <w:rFonts w:ascii="Times New Roman" w:hAnsi="Times New Roman" w:eastAsia="楷体" w:cs="Times New Roman"/>
          <w:b/>
          <w:bCs/>
          <w:lang w:val="en-GB"/>
        </w:rPr>
        <w:t>强化大气污染精准防控。</w:t>
      </w:r>
      <w:r>
        <w:rPr>
          <w:rFonts w:ascii="Times New Roman" w:hAnsi="Times New Roman" w:cs="Times New Roman"/>
          <w:lang w:val="en-GB"/>
        </w:rPr>
        <w:t>聚焦化工园区、交通干线、建筑施工等重点区域和领域，开展挥发性有机物（VOCs）、氮氧化物（NOx）等多污染物协同控制。加强秸秆禁烧管控，推广秸秆无害化、资源化综合利用。推进乡镇燃气集中供气工程，在9个乡镇建设管道燃气供气站及配套管网。实施燃煤锅炉清洁能源替代和工业炉窑深度治理，加强扬尘精细化管控和移动源排放监管，建立健全大气环境质量预警预报与应急响应机制，推动空气质量持续改善，力争PM₂.5年均浓度持续下降，优良天数比例稳定在98%以上。</w:t>
      </w:r>
    </w:p>
    <w:p>
      <w:pPr>
        <w:pStyle w:val="25"/>
        <w:ind w:firstLine="602"/>
        <w:rPr>
          <w:rFonts w:ascii="Times New Roman" w:hAnsi="Times New Roman" w:cs="Times New Roman"/>
        </w:rPr>
      </w:pPr>
      <w:r>
        <w:rPr>
          <w:rFonts w:ascii="Times New Roman" w:hAnsi="Times New Roman" w:eastAsia="楷体" w:cs="Times New Roman"/>
          <w:b/>
          <w:bCs/>
          <w:lang w:val="en-GB"/>
        </w:rPr>
        <w:t>实施土壤与固废污染防治攻坚。</w:t>
      </w:r>
      <w:r>
        <w:rPr>
          <w:rFonts w:ascii="Times New Roman" w:hAnsi="Times New Roman" w:cs="Times New Roman"/>
          <w:lang w:val="en-GB"/>
        </w:rPr>
        <w:t>持续推进重金属污染地块风险管控与修复治理，重点推进重点流域农业面源污染综合治理，推广绿色种植和生态养殖</w:t>
      </w:r>
      <w:r>
        <w:rPr>
          <w:rFonts w:ascii="Times New Roman" w:hAnsi="Times New Roman" w:cs="Times New Roman"/>
        </w:rPr>
        <w:t>技术，着力压降污染物残留排放量</w:t>
      </w:r>
      <w:r>
        <w:rPr>
          <w:rFonts w:ascii="Times New Roman" w:hAnsi="Times New Roman" w:cs="Times New Roman"/>
          <w:lang w:val="en-GB"/>
        </w:rPr>
        <w:t>。实施生活垃圾填埋场规范封场，完成堆体整形、渗滤液导排及处理、垂直防渗等工程。</w:t>
      </w:r>
      <w:r>
        <w:rPr>
          <w:rFonts w:ascii="Times New Roman" w:hAnsi="Times New Roman" w:cs="Times New Roman"/>
        </w:rPr>
        <w:t>推进垃圾分类设施建设，</w:t>
      </w:r>
      <w:r>
        <w:rPr>
          <w:rFonts w:ascii="Times New Roman" w:hAnsi="Times New Roman" w:cs="Times New Roman"/>
          <w:lang w:val="en-GB"/>
        </w:rPr>
        <w:t>完善城镇生活垃圾分类处理体系，新建垃圾中心转运站1座、收集中转站11座、建设分拣点5处。建设建筑废弃物资源化利用中心，提升固体废物综合利用率。健全土壤与固废污染监管执法机制，严厉打击非法处置行为，形成文明引导、合理利用、依法处置的污染防治格局，筑牢土壤环境安全底线。</w:t>
      </w:r>
    </w:p>
    <w:p>
      <w:pPr>
        <w:pStyle w:val="25"/>
        <w:ind w:firstLine="602"/>
        <w:rPr>
          <w:rFonts w:ascii="Times New Roman" w:hAnsi="Times New Roman" w:cs="Times New Roman"/>
          <w:lang w:val="en-GB"/>
        </w:rPr>
      </w:pPr>
      <w:r>
        <w:rPr>
          <w:rFonts w:ascii="Times New Roman" w:hAnsi="Times New Roman" w:eastAsia="楷体" w:cs="Times New Roman"/>
          <w:b/>
          <w:bCs/>
          <w:lang w:val="en-GB"/>
        </w:rPr>
        <w:t>深化城乡环境综合整治。</w:t>
      </w:r>
      <w:r>
        <w:rPr>
          <w:rFonts w:ascii="Times New Roman" w:hAnsi="Times New Roman" w:cs="Times New Roman"/>
          <w:lang w:val="en-GB"/>
        </w:rPr>
        <w:t>以和美乡村建设和城市更新为抓手，持续推进农村人居环境整治，建立农村分散式污水处理系统和生活废弃物回收系统。推动城镇老旧小区改造与生态社区建设，提升绿地系统和慢行系统覆盖率，</w:t>
      </w:r>
      <w:r>
        <w:rPr>
          <w:rFonts w:ascii="Times New Roman" w:hAnsi="Times New Roman" w:cs="Times New Roman"/>
        </w:rPr>
        <w:t>强化城乡接合部、交通沿线、景区周边等重点区域环境整治，</w:t>
      </w:r>
      <w:r>
        <w:rPr>
          <w:rFonts w:ascii="Times New Roman" w:hAnsi="Times New Roman" w:cs="Times New Roman"/>
          <w:lang w:val="en-GB"/>
        </w:rPr>
        <w:t>构建“城乡一体、全域美丽”的人居环境新格局。</w:t>
      </w:r>
    </w:p>
    <w:p>
      <w:pPr>
        <w:pStyle w:val="29"/>
        <w:numPr>
          <w:ilvl w:val="0"/>
          <w:numId w:val="13"/>
        </w:numPr>
        <w:rPr>
          <w:rFonts w:ascii="Times New Roman" w:hAnsi="Times New Roman" w:cs="Times New Roman"/>
        </w:rPr>
      </w:pPr>
      <w:bookmarkStart w:id="181" w:name="_Toc216945857"/>
      <w:r>
        <w:rPr>
          <w:rFonts w:ascii="Times New Roman" w:hAnsi="Times New Roman" w:cs="Times New Roman"/>
        </w:rPr>
        <w:t>加快发展方式绿色转型</w:t>
      </w:r>
      <w:bookmarkEnd w:id="181"/>
    </w:p>
    <w:p>
      <w:pPr>
        <w:pStyle w:val="25"/>
        <w:ind w:firstLine="600"/>
        <w:rPr>
          <w:rFonts w:ascii="Times New Roman" w:hAnsi="Times New Roman" w:cs="Times New Roman"/>
        </w:rPr>
      </w:pPr>
      <w:r>
        <w:rPr>
          <w:rFonts w:ascii="Times New Roman" w:hAnsi="Times New Roman" w:cs="Times New Roman"/>
        </w:rPr>
        <w:t>以生态文明建设为引领，以产业结构优化、能源体系重构、空间格局重塑为核心路径，全面推进经济社会发展的全面绿色低碳转型。</w:t>
      </w:r>
    </w:p>
    <w:p>
      <w:pPr>
        <w:pStyle w:val="25"/>
        <w:ind w:firstLine="602"/>
        <w:rPr>
          <w:rFonts w:ascii="Times New Roman" w:hAnsi="Times New Roman" w:cs="Times New Roman"/>
        </w:rPr>
      </w:pPr>
      <w:r>
        <w:rPr>
          <w:rFonts w:ascii="Times New Roman" w:hAnsi="Times New Roman" w:eastAsia="楷体" w:cs="Times New Roman"/>
          <w:b/>
          <w:bCs/>
          <w:lang w:val="en-GB"/>
        </w:rPr>
        <w:t>推动产业结构绿色升级。</w:t>
      </w:r>
      <w:r>
        <w:rPr>
          <w:rFonts w:ascii="Times New Roman" w:hAnsi="Times New Roman" w:cs="Times New Roman"/>
        </w:rPr>
        <w:t>严格实施产业准入负面清单，淘汰高耗能、高排放落后产能。大力推进清洁生产审核，引导企业实施绿色化、循环化、低碳化改造。推进金矿、铅锌矿、砂石土矿移除负面清单。积极发展节能环保、清洁能源等绿色产业，构建绿色制造体系，鼓励企业申报国家级和省级绿色工厂、绿色供应链管理企业。积极推进碳捕集、利用与封存示范项目，在化工园区建设年捕集二氧化碳5万吨以上的装置。大力发展循环经济，推动工业园区循环化改造，促进工业废弃物资源化利用和无害化处置。实施小水电绿色改造和现代化提升工程，对狮子岩、大田、黄雷等8座电站进行绿色改造，推动小水电绿色转型。</w:t>
      </w:r>
    </w:p>
    <w:p>
      <w:pPr>
        <w:pStyle w:val="25"/>
        <w:ind w:firstLine="602"/>
        <w:rPr>
          <w:rFonts w:ascii="Times New Roman" w:hAnsi="Times New Roman" w:cs="Times New Roman"/>
        </w:rPr>
      </w:pPr>
      <w:r>
        <w:rPr>
          <w:rFonts w:ascii="Times New Roman" w:hAnsi="Times New Roman" w:eastAsia="楷体" w:cs="Times New Roman"/>
          <w:b/>
          <w:bCs/>
          <w:lang w:val="en-GB"/>
        </w:rPr>
        <w:t>深化矿产资源可持续利用。</w:t>
      </w:r>
      <w:r>
        <w:rPr>
          <w:rFonts w:ascii="Times New Roman" w:hAnsi="Times New Roman" w:cs="Times New Roman"/>
        </w:rPr>
        <w:t>将矿山生态修复和环境治理作为开发前提，统筹推进历史遗留矿山综合治理与工业遗产保护利用。重点实施新晃汞矿国家工业遗产保护与活化利用项目，打造“生态治理+产业运营+文化传承”示范工程，系统修复矿区生态，修缮历史建筑，植入工业展览、研学体验等业态，推动“工业锈带”向“文旅秀带”“生活秀带”转变。推动资源集约化与高值化利用，重点推进矿山尾渣、废石及工业固废资源化综合利用项目，实现“吃干榨净”。</w:t>
      </w:r>
    </w:p>
    <w:p>
      <w:pPr>
        <w:pStyle w:val="25"/>
        <w:ind w:firstLine="602"/>
        <w:rPr>
          <w:rFonts w:ascii="Times New Roman" w:hAnsi="Times New Roman" w:cs="Times New Roman"/>
        </w:rPr>
      </w:pPr>
      <w:r>
        <w:rPr>
          <w:rFonts w:ascii="Times New Roman" w:hAnsi="Times New Roman" w:eastAsia="楷体" w:cs="Times New Roman"/>
          <w:b/>
          <w:bCs/>
          <w:lang w:val="en-GB"/>
        </w:rPr>
        <w:t>发展绿色低碳生活方式。</w:t>
      </w:r>
      <w:r>
        <w:rPr>
          <w:rFonts w:ascii="Times New Roman" w:hAnsi="Times New Roman" w:cs="Times New Roman"/>
        </w:rPr>
        <w:t>深入开展绿色生活创建行动，倡导简约适度、绿色低碳、文明健康的生活理念。推广绿色消费，严格执行政府绿色采购制度，引导公众优先选购绿色产品。通过实施液化石油气钢瓶更新及智能化改造，提升清洁能源使用安全性。完善绿色低碳交通体系，优化公共交通网络，加强步行、自行车等慢行交通系统建设，鼓励低碳出行。推行绿色建筑和低碳社区建设，提高新建建筑节能标准，推进既有建筑节能改造。开展节约型机关、绿色家庭、绿色学校、绿色社区创建行动，营造全社会共同参与绿色低碳转型的良好氛围。</w:t>
      </w:r>
    </w:p>
    <w:p>
      <w:pPr>
        <w:pStyle w:val="25"/>
        <w:ind w:firstLine="602"/>
        <w:rPr>
          <w:rFonts w:ascii="Times New Roman" w:hAnsi="Times New Roman" w:cs="Times New Roman"/>
        </w:rPr>
      </w:pPr>
      <w:r>
        <w:rPr>
          <w:rFonts w:ascii="Times New Roman" w:hAnsi="Times New Roman" w:eastAsia="楷体" w:cs="Times New Roman"/>
          <w:b/>
          <w:bCs/>
          <w:lang w:val="en-GB"/>
        </w:rPr>
        <w:t>打造生态产品价值实现典范。</w:t>
      </w:r>
      <w:r>
        <w:rPr>
          <w:rFonts w:ascii="Times New Roman" w:hAnsi="Times New Roman" w:cs="Times New Roman"/>
        </w:rPr>
        <w:t>开展县域生态资源本底调查与动态监测，建立覆盖森林、水源、农田、湿地等自然资源的生态产品目录清单。争取纳入省级生态产品价值实现试点，开展GEP核算与评估。推动生态资源与特色农业、文旅康养、休闲体育等产业深度融合，提升生态附加值。开发具有地域特色的生态标识产品。支持企业开展绿色认证、有机认证，提升“新晃生态”品牌影响力。推动建立㵲水、平溪等跨省流域横向生态补偿机制，与贵州玉屏、万山等地协商制定水质考核与补偿办法。积极争取国家及省级重点生态功能区转移支付，探索基于生态贡献的财政激励机制。</w:t>
      </w:r>
    </w:p>
    <w:p>
      <w:pPr>
        <w:pStyle w:val="24"/>
      </w:pPr>
      <w:bookmarkStart w:id="182" w:name="_Toc216945858"/>
      <w:r>
        <w:t>第十二章 强化安全筑底 构建更高水平平安法治格局</w:t>
      </w:r>
      <w:bookmarkEnd w:id="182"/>
    </w:p>
    <w:p>
      <w:pPr>
        <w:pStyle w:val="25"/>
        <w:ind w:firstLine="600"/>
        <w:rPr>
          <w:rFonts w:ascii="Times New Roman" w:hAnsi="Times New Roman" w:cs="Times New Roman"/>
          <w:lang w:val="en-GB"/>
        </w:rPr>
      </w:pPr>
      <w:r>
        <w:rPr>
          <w:rFonts w:ascii="Times New Roman" w:hAnsi="Times New Roman" w:cs="Times New Roman"/>
          <w:lang w:val="en-GB"/>
        </w:rPr>
        <w:t>统筹发展和安全，坚持底线思维、系统观念，构建“大安全、大应急、大治理”工作格局，建设更高水平的平安新晃、法治新晃。</w:t>
      </w:r>
    </w:p>
    <w:p>
      <w:pPr>
        <w:pStyle w:val="29"/>
        <w:numPr>
          <w:ilvl w:val="0"/>
          <w:numId w:val="14"/>
        </w:numPr>
        <w:rPr>
          <w:rFonts w:ascii="Times New Roman" w:hAnsi="Times New Roman" w:cs="Times New Roman"/>
          <w:lang w:val="en-GB"/>
        </w:rPr>
      </w:pPr>
      <w:bookmarkStart w:id="183" w:name="_Toc216945859"/>
      <w:r>
        <w:rPr>
          <w:rFonts w:ascii="Times New Roman" w:hAnsi="Times New Roman" w:cs="Times New Roman"/>
          <w:lang w:val="en-GB"/>
        </w:rPr>
        <w:t>增强安全保障能力</w:t>
      </w:r>
      <w:bookmarkEnd w:id="183"/>
    </w:p>
    <w:p>
      <w:pPr>
        <w:pStyle w:val="25"/>
        <w:ind w:firstLine="600"/>
        <w:rPr>
          <w:rFonts w:ascii="Times New Roman" w:hAnsi="Times New Roman" w:cs="Times New Roman"/>
        </w:rPr>
      </w:pPr>
      <w:r>
        <w:rPr>
          <w:rFonts w:ascii="Times New Roman" w:hAnsi="Times New Roman" w:cs="Times New Roman"/>
        </w:rPr>
        <w:t>坚定维护国家政权安全、制度安全、意识形态安全和网络安全，提高防范化解重大风险能力，全力防范化解地方债务、金融、房地产等领域风险。</w:t>
      </w:r>
    </w:p>
    <w:p>
      <w:pPr>
        <w:pStyle w:val="25"/>
        <w:ind w:firstLine="602"/>
        <w:rPr>
          <w:rFonts w:ascii="Times New Roman" w:hAnsi="Times New Roman" w:cs="Times New Roman"/>
        </w:rPr>
      </w:pPr>
      <w:r>
        <w:rPr>
          <w:rFonts w:ascii="Times New Roman" w:hAnsi="Times New Roman" w:eastAsia="楷体" w:cs="Times New Roman"/>
          <w:b/>
          <w:bCs/>
        </w:rPr>
        <w:t>加强国家安全体系和能力建设。</w:t>
      </w:r>
      <w:r>
        <w:rPr>
          <w:rFonts w:ascii="Times New Roman" w:hAnsi="Times New Roman" w:cs="Times New Roman"/>
        </w:rPr>
        <w:t>坚定不移捍卫政治安全，加强意识形态阵地建设和管理，严密防范、严厉打击敌对势力渗透、破坏、颠覆、分裂活动，坚决遏制非法宗教渗透和邪教滋扰。健全县域国家安全风险监测预警和防控协同机制，强化重点领域安全保障和重要专项工作协调。严格落实国家安全责任制，促进风险防范的全链条衔接与全要素协同。主动服务和融入国家战略布局，增强经济安全保障能力。深化国家安全宣传教育，提升全民国家安全意识和素养。</w:t>
      </w:r>
    </w:p>
    <w:p>
      <w:pPr>
        <w:pStyle w:val="25"/>
        <w:ind w:firstLine="602"/>
        <w:rPr>
          <w:rFonts w:ascii="Times New Roman" w:hAnsi="Times New Roman" w:cs="Times New Roman"/>
        </w:rPr>
      </w:pPr>
      <w:r>
        <w:rPr>
          <w:rFonts w:ascii="Times New Roman" w:hAnsi="Times New Roman" w:eastAsia="楷体" w:cs="Times New Roman"/>
          <w:b/>
          <w:bCs/>
        </w:rPr>
        <w:t>完善国防动员体系。</w:t>
      </w:r>
      <w:r>
        <w:rPr>
          <w:rFonts w:ascii="Times New Roman" w:hAnsi="Times New Roman" w:cs="Times New Roman"/>
        </w:rPr>
        <w:t>健全国防动员体制机制，坚持党对国防动员的绝对领导，强化国防动员建设统筹协调作用。加强国防后备力量建设，健全人民防空、民兵预备役力量建设机制，推动国防教育常态化，增强全民国防观念和忧患意识。推进军民融合发展，提升山区道路与通信基础设施军民两用能力。</w:t>
      </w:r>
    </w:p>
    <w:p>
      <w:pPr>
        <w:pStyle w:val="25"/>
        <w:ind w:firstLine="602"/>
        <w:rPr>
          <w:rFonts w:ascii="Times New Roman" w:hAnsi="Times New Roman" w:cs="Times New Roman"/>
        </w:rPr>
      </w:pPr>
      <w:r>
        <w:rPr>
          <w:rFonts w:ascii="Times New Roman" w:hAnsi="Times New Roman" w:eastAsia="楷体" w:cs="Times New Roman"/>
          <w:b/>
          <w:bCs/>
        </w:rPr>
        <w:t>坚决防范化解重点领域风险。</w:t>
      </w:r>
      <w:r>
        <w:rPr>
          <w:rFonts w:ascii="Times New Roman" w:hAnsi="Times New Roman" w:cs="Times New Roman"/>
        </w:rPr>
        <w:t>建立健全防范化解地方债务风险长效工作机制，统筹协调政府债务、隐性债务、融资平台债务等风险防范化解。严格落实化债方案，有序推进平台数量与债务规模压降，积极向上争取化债政策支持，多措并举化解存量隐性债务。加强政府债券管理，加快压降融资平台数量与债务规模，分类推进融资平台改革转型。牢固树立习惯“过紧日子”的思想，全面推行零基预算。严厉打击非法吸收公众存款、集资诈骗等非法金融活动，守住不发生区域性金融风险底线。</w:t>
      </w:r>
    </w:p>
    <w:p>
      <w:pPr>
        <w:pStyle w:val="25"/>
        <w:ind w:firstLine="602"/>
        <w:rPr>
          <w:rFonts w:ascii="Times New Roman" w:hAnsi="Times New Roman" w:cs="Times New Roman"/>
        </w:rPr>
      </w:pPr>
      <w:r>
        <w:rPr>
          <w:rFonts w:ascii="Times New Roman" w:hAnsi="Times New Roman" w:eastAsia="楷体" w:cs="Times New Roman"/>
          <w:b/>
          <w:bCs/>
        </w:rPr>
        <w:t>提升本质安全与应急响应水平。</w:t>
      </w:r>
      <w:r>
        <w:rPr>
          <w:rFonts w:ascii="Times New Roman" w:hAnsi="Times New Roman" w:cs="Times New Roman"/>
        </w:rPr>
        <w:t>紧盯道路交通、桥梁、矿山、危化、建设施工、自建房等重点行业领域，深入开展安全生产和自然灾害风险隐患排查整治、“打非治违”专项整治。系统推进中小型水库除险加固、㵲水及山洪沟防洪治理、地质灾害治理等工程，提升洪涝和地质灾害防御能力。严格食品药品及农产品质量安全监管。抓实防汛抗旱、森林防灭火、农村团寨消防等工作，构建湘黔边界森林防火联防联控机制，建设生物防火林带与智能监测预警系统，健全县、乡、村三级应急管理组织体系，完善安全生产风险分级管控和隐患排查治理双重预防机制。严格落实全员安全生产责任制。</w:t>
      </w:r>
    </w:p>
    <w:p>
      <w:pPr>
        <w:pStyle w:val="25"/>
        <w:ind w:firstLine="602"/>
        <w:rPr>
          <w:rFonts w:ascii="Times New Roman" w:hAnsi="Times New Roman" w:cs="Times New Roman"/>
        </w:rPr>
      </w:pPr>
      <w:r>
        <w:rPr>
          <w:rFonts w:ascii="Times New Roman" w:hAnsi="Times New Roman" w:eastAsia="楷体" w:cs="Times New Roman"/>
          <w:b/>
          <w:bCs/>
        </w:rPr>
        <w:t>强化监测预警与应急救援能力。</w:t>
      </w:r>
      <w:r>
        <w:rPr>
          <w:rFonts w:ascii="Times New Roman" w:hAnsi="Times New Roman" w:cs="Times New Roman"/>
        </w:rPr>
        <w:t>完善覆盖洪涝、干旱、地质、森林火灾及生产安全等多灾种风险监测网络，依托地质灾害智能监测点、山洪灾害非工程措施、数字孪生流域等项目建设，提升早期识别、精准预报和实时预警能力。加强综合性消防救援队伍、专业应急救援队伍和社会应急力量建设。健全分级分类、布局合理的应急物资储备体系，加快县级应急救援设备库、应急物资仓储基地及产业园区环境应急池建设，强化跨部门、跨区域协同调配保障。</w:t>
      </w:r>
    </w:p>
    <w:p>
      <w:pPr>
        <w:pStyle w:val="29"/>
        <w:numPr>
          <w:ilvl w:val="0"/>
          <w:numId w:val="14"/>
        </w:numPr>
        <w:rPr>
          <w:rFonts w:ascii="Times New Roman" w:hAnsi="Times New Roman" w:cs="Times New Roman"/>
          <w:lang w:val="en-GB"/>
        </w:rPr>
      </w:pPr>
      <w:bookmarkStart w:id="184" w:name="_Toc216945860"/>
      <w:r>
        <w:rPr>
          <w:rFonts w:ascii="Times New Roman" w:hAnsi="Times New Roman" w:cs="Times New Roman"/>
          <w:lang w:val="en-GB"/>
        </w:rPr>
        <w:t>加快法治新晃建设</w:t>
      </w:r>
      <w:bookmarkEnd w:id="184"/>
    </w:p>
    <w:p>
      <w:pPr>
        <w:pStyle w:val="25"/>
        <w:ind w:firstLine="602"/>
        <w:rPr>
          <w:rFonts w:ascii="Times New Roman" w:hAnsi="Times New Roman" w:cs="Times New Roman"/>
        </w:rPr>
      </w:pPr>
      <w:r>
        <w:rPr>
          <w:rFonts w:ascii="Times New Roman" w:hAnsi="Times New Roman" w:eastAsia="楷体" w:cs="Times New Roman"/>
          <w:b/>
          <w:bCs/>
        </w:rPr>
        <w:t>深化法治政府建设。</w:t>
      </w:r>
      <w:r>
        <w:rPr>
          <w:rFonts w:ascii="Times New Roman" w:hAnsi="Times New Roman" w:cs="Times New Roman"/>
        </w:rPr>
        <w:t>依法履行政府职能，全面推行清单管理制度，动态调整权责清单，推进“一网通办”“一单两库一细则”监管模式。持续推进提升行政执法质量行动，健全行政执法监督机制，强化涉企行政执法备案与专项监督。严格行政规范性文件合法性审查，健全法律顾问制度，完善重大行政决策法治化机制。高标准谋划“十五五”法治建设规划，完善法治督察机制，压实法治建设第一责任人职责。加大政务公开力度，创建一批法治政府建设示范单位。</w:t>
      </w:r>
    </w:p>
    <w:p>
      <w:pPr>
        <w:pStyle w:val="25"/>
        <w:ind w:firstLine="602"/>
        <w:rPr>
          <w:rFonts w:ascii="Times New Roman" w:hAnsi="Times New Roman" w:cs="Times New Roman"/>
        </w:rPr>
      </w:pPr>
      <w:r>
        <w:rPr>
          <w:rFonts w:ascii="Times New Roman" w:hAnsi="Times New Roman" w:eastAsia="楷体" w:cs="Times New Roman"/>
          <w:b/>
          <w:bCs/>
        </w:rPr>
        <w:t>加强行政队伍法治教育。</w:t>
      </w:r>
      <w:r>
        <w:rPr>
          <w:rFonts w:ascii="Times New Roman" w:hAnsi="Times New Roman" w:cs="Times New Roman"/>
        </w:rPr>
        <w:t>健全干部常态化政治轮训与业务培训机制，持续深化作风整顿，强化纪律约束，全面提升履职效能与队伍形象。深化司法体制改革，完善司法权责清单，健全审判、检察机关案件管理监督机制，加强司法队伍建设，提升司法公信力。</w:t>
      </w:r>
    </w:p>
    <w:p>
      <w:pPr>
        <w:pStyle w:val="25"/>
        <w:ind w:firstLine="602"/>
        <w:rPr>
          <w:rFonts w:ascii="Times New Roman" w:hAnsi="Times New Roman" w:cs="Times New Roman"/>
        </w:rPr>
      </w:pPr>
      <w:r>
        <w:rPr>
          <w:rFonts w:ascii="Times New Roman" w:hAnsi="Times New Roman" w:eastAsia="楷体" w:cs="Times New Roman"/>
          <w:b/>
          <w:bCs/>
        </w:rPr>
        <w:t>夯实法治社会基础。</w:t>
      </w:r>
      <w:r>
        <w:rPr>
          <w:rFonts w:ascii="Times New Roman" w:hAnsi="Times New Roman" w:cs="Times New Roman"/>
        </w:rPr>
        <w:t>推进全社会多层次多领域依法治理，建设一批国家级民主法治示范村（社区）。抓实抓好</w:t>
      </w:r>
      <w:r>
        <w:rPr>
          <w:rFonts w:hint="eastAsia" w:ascii="Times New Roman" w:hAnsi="Times New Roman" w:cs="Times New Roman"/>
        </w:rPr>
        <w:t>全民</w:t>
      </w:r>
      <w:r>
        <w:rPr>
          <w:rFonts w:ascii="Times New Roman" w:hAnsi="Times New Roman" w:cs="Times New Roman"/>
        </w:rPr>
        <w:t>法治宣传教育，深化“八五”普法总结与“九五”普法谋划，创新以案释法、短视频、山歌等普法形式，建强一批法治文化阵地，持续推动“进机关、进学校、进园区、进乡村”。推广应用“法律明白人”制度，开展“模拟法庭进校园”等创新实践。</w:t>
      </w:r>
    </w:p>
    <w:p>
      <w:pPr>
        <w:pStyle w:val="25"/>
        <w:ind w:firstLine="602"/>
        <w:rPr>
          <w:rFonts w:ascii="Times New Roman" w:hAnsi="Times New Roman" w:cs="Times New Roman"/>
        </w:rPr>
      </w:pPr>
      <w:r>
        <w:rPr>
          <w:rFonts w:ascii="Times New Roman" w:hAnsi="Times New Roman" w:eastAsia="楷体" w:cs="Times New Roman"/>
          <w:b/>
          <w:bCs/>
        </w:rPr>
        <w:t>健全法律服务体系。</w:t>
      </w:r>
      <w:r>
        <w:rPr>
          <w:rFonts w:ascii="Times New Roman" w:hAnsi="Times New Roman" w:cs="Times New Roman"/>
        </w:rPr>
        <w:t>完善公共法律服务机制，持续开展“法援惠民生”“公证规范优质”“法治护航”等专项行动，加强乡镇公共法律服务站建设，谋划智慧公共法律服务体系建设。推进人民调解组织规范化建设，探索商事调解组织建设。深化行政争议化解，全面推广线上行政复议申请，推行涉企行政复议快办快结。</w:t>
      </w:r>
    </w:p>
    <w:p>
      <w:pPr>
        <w:pStyle w:val="29"/>
        <w:numPr>
          <w:ilvl w:val="0"/>
          <w:numId w:val="14"/>
        </w:numPr>
        <w:rPr>
          <w:rFonts w:ascii="Times New Roman" w:hAnsi="Times New Roman" w:cs="Times New Roman"/>
          <w:lang w:val="en-GB"/>
        </w:rPr>
      </w:pPr>
      <w:bookmarkStart w:id="185" w:name="_Toc216945861"/>
      <w:r>
        <w:rPr>
          <w:rFonts w:ascii="Times New Roman" w:hAnsi="Times New Roman" w:cs="Times New Roman"/>
          <w:lang w:val="en-GB"/>
        </w:rPr>
        <w:t>提升社会治理效能</w:t>
      </w:r>
      <w:bookmarkEnd w:id="185"/>
    </w:p>
    <w:p>
      <w:pPr>
        <w:pStyle w:val="25"/>
        <w:ind w:firstLine="600"/>
        <w:rPr>
          <w:rFonts w:ascii="Times New Roman" w:hAnsi="Times New Roman" w:cs="Times New Roman"/>
        </w:rPr>
      </w:pPr>
      <w:r>
        <w:rPr>
          <w:rFonts w:ascii="Times New Roman" w:hAnsi="Times New Roman" w:cs="Times New Roman"/>
        </w:rPr>
        <w:t>坚持和发展新时代“枫桥经验”，深化拓展“三源共治”，完善共建共治共享的社会治理制度，全力推进治理体系和治理能力现代化建设。</w:t>
      </w:r>
    </w:p>
    <w:p>
      <w:pPr>
        <w:pStyle w:val="25"/>
        <w:ind w:firstLine="602"/>
        <w:rPr>
          <w:rFonts w:ascii="Times New Roman" w:hAnsi="Times New Roman" w:cs="Times New Roman"/>
        </w:rPr>
      </w:pPr>
      <w:r>
        <w:rPr>
          <w:rFonts w:ascii="Times New Roman" w:hAnsi="Times New Roman" w:eastAsia="楷体" w:cs="Times New Roman"/>
          <w:b/>
          <w:bCs/>
        </w:rPr>
        <w:t>完善基层治理体系。</w:t>
      </w:r>
      <w:r>
        <w:rPr>
          <w:rFonts w:ascii="Times New Roman" w:hAnsi="Times New Roman" w:cs="Times New Roman"/>
        </w:rPr>
        <w:t>深化“1+4”“党建+微网格”基层治理模式，优化网格划分和网格员配备，健全“网格化+综治中心+大数据”的实战化运行机制。推动社会治理重心向基层下移、资源向基层下沉，加强乡镇（街道）政法委员履职保障和综治中心规范化建设。深化军地合作，发挥其在应急处突、平安创建中的重要作用。健全村（居）民委员会规范化建设机制，完善村（居）务公开和民主管理制度，夯实基层治理组织基础。</w:t>
      </w:r>
    </w:p>
    <w:p>
      <w:pPr>
        <w:pStyle w:val="25"/>
        <w:ind w:firstLine="602"/>
        <w:rPr>
          <w:rFonts w:ascii="Times New Roman" w:hAnsi="Times New Roman" w:cs="Times New Roman"/>
        </w:rPr>
      </w:pPr>
      <w:r>
        <w:rPr>
          <w:rFonts w:ascii="Times New Roman" w:hAnsi="Times New Roman" w:eastAsia="楷体" w:cs="Times New Roman"/>
          <w:b/>
          <w:bCs/>
        </w:rPr>
        <w:t>有效化解社会矛盾。</w:t>
      </w:r>
      <w:r>
        <w:rPr>
          <w:rFonts w:ascii="Times New Roman" w:hAnsi="Times New Roman" w:cs="Times New Roman"/>
        </w:rPr>
        <w:t>坚持源头治理、预防为主，健全社会矛盾纠纷多元预防调处化解综合机制。完善“一站式”矛盾纠纷调解中心功能，整合人民调解、行政调解、司法调解及行业性专业性调解资源，实现矛盾纠纷“一站式受理、一揽子调处、全链条解决”。严格落实诉访分离制度，依法分类处理信访诉求，持续推进信访工作法治化，引导群众依法理性反映诉求、维护权益。健全领导干部接访下访和包案化解长效机制，聚焦重点领域、重点群体深入开展矛盾纠纷排查化解，努力将风险隐患化解在基层、消除在萌芽状态。</w:t>
      </w:r>
    </w:p>
    <w:p>
      <w:pPr>
        <w:pStyle w:val="25"/>
        <w:ind w:firstLine="602"/>
        <w:rPr>
          <w:rFonts w:ascii="Times New Roman" w:hAnsi="Times New Roman" w:cs="Times New Roman"/>
        </w:rPr>
      </w:pPr>
      <w:r>
        <w:rPr>
          <w:rFonts w:ascii="Times New Roman" w:hAnsi="Times New Roman" w:eastAsia="楷体" w:cs="Times New Roman"/>
          <w:b/>
          <w:bCs/>
        </w:rPr>
        <w:t>强化公共安全服务。</w:t>
      </w:r>
      <w:r>
        <w:rPr>
          <w:rFonts w:ascii="Times New Roman" w:hAnsi="Times New Roman" w:cs="Times New Roman"/>
        </w:rPr>
        <w:t>拓展“12345”政务服务便民热线功能，提升公共服务响应效率、办理质量和群众满意度。健全立体化、信息化社会治安防控体系，常态化开展扫黑除恶斗争，依法严厉打击盗抢骗、黄赌毒、食药环等与百姓息息相关的民生案件。坚决打好新时代禁毒人民战争，强化涉毒要素管控和预防宣传教育。深入推进“护苗”专项行动，依法严惩侵害未成年人合法权益的违法犯罪行为，完善未成年人综合保护体系。加强特殊人群服务管理，落实帮扶管教措施。</w:t>
      </w:r>
    </w:p>
    <w:p>
      <w:pPr>
        <w:pStyle w:val="25"/>
        <w:ind w:firstLine="602"/>
        <w:rPr>
          <w:rFonts w:ascii="Times New Roman" w:hAnsi="Times New Roman" w:cs="Times New Roman"/>
          <w:lang w:val="en-GB"/>
        </w:rPr>
      </w:pPr>
      <w:r>
        <w:rPr>
          <w:rFonts w:ascii="Times New Roman" w:hAnsi="Times New Roman" w:eastAsia="楷体" w:cs="Times New Roman"/>
          <w:b/>
          <w:bCs/>
        </w:rPr>
        <w:t>培育良好社会风尚。</w:t>
      </w:r>
      <w:r>
        <w:rPr>
          <w:rFonts w:ascii="Times New Roman" w:hAnsi="Times New Roman" w:cs="Times New Roman"/>
        </w:rPr>
        <w:t>充分发挥家庭家教家风在基层社会治理中的重要作用，推动形成爱国爱家、相亲相爱、向上向善、共建共享的社会主义家庭文明新风尚。健全社会心理服务体系和危机干预机制，培育自尊自信、理性平和、积极向上的社会心态。深化行业协会商会改革，强化行业自律功能，引导社会组织健康有序发展并有效参与社会治理。</w:t>
      </w:r>
      <w:r>
        <w:rPr>
          <w:rFonts w:ascii="Times New Roman" w:hAnsi="Times New Roman" w:cs="Times New Roman"/>
          <w:lang w:val="en-GB"/>
        </w:rPr>
        <w:t>健全志愿服务体系，发展壮大志愿服务队伍，打造“侗乡志愿红”等服务品牌，推动志愿服务常态化、制度化、品牌化。</w:t>
      </w:r>
      <w:r>
        <w:rPr>
          <w:rFonts w:ascii="Times New Roman" w:hAnsi="Times New Roman" w:cs="Times New Roman"/>
        </w:rPr>
        <w:t>广泛开展平安细胞创建活动，激发群众参与平安建设的积极性、主动性、创造性，努力营造平安和谐、文明有序的社会氛围。</w:t>
      </w:r>
    </w:p>
    <w:p>
      <w:pPr>
        <w:pStyle w:val="24"/>
        <w:sectPr>
          <w:pgSz w:w="11906" w:h="16838"/>
          <w:pgMar w:top="1440" w:right="1800" w:bottom="1440" w:left="1800" w:header="851" w:footer="992" w:gutter="0"/>
          <w:pgNumType w:fmt="decimal"/>
          <w:cols w:space="425" w:num="1"/>
          <w:docGrid w:type="lines" w:linePitch="312" w:charSpace="0"/>
        </w:sectPr>
      </w:pPr>
    </w:p>
    <w:p>
      <w:pPr>
        <w:pStyle w:val="24"/>
        <w:jc w:val="both"/>
        <w:rPr>
          <w:spacing w:val="-11"/>
        </w:rPr>
      </w:pPr>
      <w:bookmarkStart w:id="186" w:name="_Toc216945862"/>
      <w:r>
        <w:rPr>
          <w:spacing w:val="-11"/>
        </w:rPr>
        <w:t>第十三章 切实增强保障 凝聚合力推动蓝图落地见效</w:t>
      </w:r>
      <w:bookmarkEnd w:id="186"/>
    </w:p>
    <w:p>
      <w:pPr>
        <w:pStyle w:val="25"/>
        <w:ind w:firstLine="600"/>
        <w:rPr>
          <w:rFonts w:ascii="Times New Roman" w:hAnsi="Times New Roman" w:cs="Times New Roman"/>
          <w:b/>
          <w:bCs/>
          <w:lang w:val="en-GB"/>
        </w:rPr>
      </w:pPr>
      <w:r>
        <w:rPr>
          <w:rFonts w:ascii="Times New Roman" w:hAnsi="Times New Roman" w:cs="Times New Roman"/>
          <w:lang w:val="en-GB"/>
        </w:rPr>
        <w:t>健全党的领导、民主政治、实施机制等全方位保障体系，广泛凝聚全县上下及社会各界力量，形成推动规划实施的强大合力。</w:t>
      </w:r>
    </w:p>
    <w:p>
      <w:pPr>
        <w:pStyle w:val="29"/>
        <w:numPr>
          <w:ilvl w:val="0"/>
          <w:numId w:val="15"/>
        </w:numPr>
        <w:rPr>
          <w:rFonts w:ascii="Times New Roman" w:hAnsi="Times New Roman" w:cs="Times New Roman"/>
          <w:lang w:val="en-GB"/>
        </w:rPr>
      </w:pPr>
      <w:bookmarkStart w:id="187" w:name="_Toc216945863"/>
      <w:r>
        <w:rPr>
          <w:rFonts w:ascii="Times New Roman" w:hAnsi="Times New Roman" w:cs="Times New Roman"/>
          <w:lang w:val="en-GB"/>
        </w:rPr>
        <w:t>全面加强党的领导</w:t>
      </w:r>
      <w:bookmarkEnd w:id="187"/>
    </w:p>
    <w:p>
      <w:pPr>
        <w:pStyle w:val="25"/>
        <w:ind w:firstLine="602"/>
        <w:rPr>
          <w:rFonts w:ascii="Times New Roman" w:hAnsi="Times New Roman" w:cs="Times New Roman"/>
        </w:rPr>
      </w:pPr>
      <w:r>
        <w:rPr>
          <w:rFonts w:ascii="Times New Roman" w:hAnsi="Times New Roman" w:eastAsia="楷体" w:cs="Times New Roman"/>
          <w:b/>
          <w:bCs/>
          <w:lang w:val="en-GB"/>
        </w:rPr>
        <w:t>把牢政治方向。</w:t>
      </w:r>
      <w:r>
        <w:rPr>
          <w:rFonts w:ascii="Times New Roman" w:hAnsi="Times New Roman" w:cs="Times New Roman"/>
        </w:rPr>
        <w:t>坚持各级党委（党组）在经济社会发展中的领导核心作用，贯彻党把方向、谋大局、定政策、促改革的要求，完善上下贯通、执行有力的组织体系，始终同以习近平同志为核心的党中央在思想上、政治上、行动上保持高度一致，不断提高政治判断力、政治领悟力、政治执行力，确保党中央决策部署有效落实。提高决策科学化水平，完善党委研究经济社会发展战略、定期分析经济形势、研究重大方针政策的工作机制。</w:t>
      </w:r>
    </w:p>
    <w:p>
      <w:pPr>
        <w:pStyle w:val="25"/>
        <w:ind w:firstLine="602"/>
        <w:rPr>
          <w:rFonts w:ascii="Times New Roman" w:hAnsi="Times New Roman" w:cs="Times New Roman"/>
        </w:rPr>
      </w:pPr>
      <w:r>
        <w:rPr>
          <w:rFonts w:ascii="Times New Roman" w:hAnsi="Times New Roman" w:eastAsia="楷体" w:cs="Times New Roman"/>
          <w:b/>
          <w:bCs/>
          <w:lang w:val="en-GB"/>
        </w:rPr>
        <w:t>夯实组织基础。</w:t>
      </w:r>
      <w:r>
        <w:rPr>
          <w:rFonts w:ascii="Times New Roman" w:hAnsi="Times New Roman" w:cs="Times New Roman"/>
        </w:rPr>
        <w:t>全面贯彻新时代党的组织路线，加强党员干部理想信念教育，落实好干部标准，</w:t>
      </w:r>
      <w:r>
        <w:rPr>
          <w:rFonts w:hint="eastAsia" w:ascii="Times New Roman" w:hAnsi="Times New Roman" w:cs="Times New Roman"/>
        </w:rPr>
        <w:t>实施党员干部三年培训计划，</w:t>
      </w:r>
      <w:r>
        <w:rPr>
          <w:rFonts w:ascii="Times New Roman" w:hAnsi="Times New Roman" w:cs="Times New Roman"/>
        </w:rPr>
        <w:t>提高各级领导班子和干部适应新时代新要求抓改革、促发展、保稳定水平和专业化能力。深入落实“三个区分开来”要求，实现严管与厚爱结合、激励与约束并重，加强对敢担当善作为干部的激励保护，激励各级干部甩开膀子大胆干事创业。以组织体系建设为重点，大力加强基层党组织和基层政权建设，加大基层基础保障力度，进一步减轻基层负担，推动基层组织和基层政权建设全面进步、全面过硬。</w:t>
      </w:r>
    </w:p>
    <w:p>
      <w:pPr>
        <w:pStyle w:val="25"/>
        <w:ind w:firstLine="602"/>
        <w:rPr>
          <w:rFonts w:ascii="Times New Roman" w:hAnsi="Times New Roman" w:cs="Times New Roman"/>
          <w:lang w:val="en-GB"/>
        </w:rPr>
      </w:pPr>
      <w:r>
        <w:rPr>
          <w:rFonts w:ascii="Times New Roman" w:hAnsi="Times New Roman" w:eastAsia="楷体" w:cs="Times New Roman"/>
          <w:b/>
          <w:bCs/>
          <w:lang w:val="en-GB"/>
        </w:rPr>
        <w:t>严明纪律规矩。</w:t>
      </w:r>
      <w:r>
        <w:rPr>
          <w:rFonts w:ascii="Times New Roman" w:hAnsi="Times New Roman" w:cs="Times New Roman"/>
          <w:lang w:val="en-GB"/>
        </w:rPr>
        <w:t>坚持用改革精神和严的标准管党治党，推动全面从严治党向纵深发展，锲而不舍落实中央八项规定及其实施细则精神，持续纠治形式主义、官僚主义，强化对公权力运行的制约和监督，深化政治巡视巡察。一体推进不敢腐、不能腐、不想腐，深化纪检监察体制改革，推动“四项监督”贯通协同，提升综合治理效能，为规划落实营造风清气正、干事创业的良好环境。</w:t>
      </w:r>
    </w:p>
    <w:p>
      <w:pPr>
        <w:pStyle w:val="29"/>
        <w:numPr>
          <w:ilvl w:val="0"/>
          <w:numId w:val="15"/>
        </w:numPr>
        <w:rPr>
          <w:rFonts w:ascii="Times New Roman" w:hAnsi="Times New Roman" w:cs="Times New Roman"/>
          <w:lang w:val="en-GB"/>
        </w:rPr>
      </w:pPr>
      <w:bookmarkStart w:id="188" w:name="_Toc216945864"/>
      <w:r>
        <w:rPr>
          <w:rFonts w:ascii="Times New Roman" w:hAnsi="Times New Roman" w:cs="Times New Roman"/>
          <w:lang w:val="en-GB"/>
        </w:rPr>
        <w:t>深化社会主义民主政治建设</w:t>
      </w:r>
      <w:bookmarkEnd w:id="188"/>
    </w:p>
    <w:p>
      <w:pPr>
        <w:pStyle w:val="25"/>
        <w:ind w:firstLine="600"/>
        <w:rPr>
          <w:rFonts w:ascii="Times New Roman" w:hAnsi="Times New Roman" w:cs="Times New Roman"/>
          <w:lang w:val="en-GB"/>
        </w:rPr>
      </w:pPr>
      <w:r>
        <w:rPr>
          <w:rFonts w:ascii="Times New Roman" w:hAnsi="Times New Roman" w:cs="Times New Roman"/>
        </w:rPr>
        <w:t>坚定不移走中国特色社会主义政治发展道路，坚持党的领导、人民当家作主、依法治国有机统一，扎实推进全过程人民民主，凝聚最广泛的力量共同奋斗。</w:t>
      </w:r>
    </w:p>
    <w:p>
      <w:pPr>
        <w:pStyle w:val="25"/>
        <w:ind w:firstLine="602"/>
        <w:rPr>
          <w:rFonts w:ascii="Times New Roman" w:hAnsi="Times New Roman" w:cs="Times New Roman"/>
        </w:rPr>
      </w:pPr>
      <w:r>
        <w:rPr>
          <w:rFonts w:ascii="Times New Roman" w:hAnsi="Times New Roman" w:eastAsia="楷体" w:cs="Times New Roman"/>
          <w:b/>
          <w:bCs/>
          <w:lang w:val="en-GB"/>
        </w:rPr>
        <w:t>完善政治制度，夯实民主根基。</w:t>
      </w:r>
      <w:r>
        <w:rPr>
          <w:rFonts w:ascii="Times New Roman" w:hAnsi="Times New Roman" w:cs="Times New Roman"/>
        </w:rPr>
        <w:t>坚持和完善人民代表大会制度，支持和保证县人大及其常委会依法行使职权，密切人大代表同人民群众的联系，健全人大代表议案建议办理和督办机制，拓展人大代表参与规划实施监督的渠道与方式，切实保障人民当家作主。坚持和完善中国共产党领导的多党合作和政治协商制度，支持县政协围绕“一堡五高地”建设等中心工作，深入开展政治协商、民主监督、参政议政，提高建言资政和凝聚共识水平，完善政协协商成果采纳、落实和反馈机制，把人民政协制度优势转化为治理效能。健全基层群众自治机制，完善党组织领导下的村（居）民自治制度，保障人民群众依法直接行使民主权利。</w:t>
      </w:r>
    </w:p>
    <w:p>
      <w:pPr>
        <w:pStyle w:val="25"/>
        <w:ind w:firstLine="602"/>
        <w:rPr>
          <w:rFonts w:ascii="Times New Roman" w:hAnsi="Times New Roman" w:cs="Times New Roman"/>
        </w:rPr>
      </w:pPr>
      <w:r>
        <w:rPr>
          <w:rFonts w:ascii="Times New Roman" w:hAnsi="Times New Roman" w:eastAsia="楷体" w:cs="Times New Roman"/>
          <w:b/>
          <w:bCs/>
          <w:lang w:val="en-GB"/>
        </w:rPr>
        <w:t>发展全过程民主，壮大统一战线。</w:t>
      </w:r>
      <w:r>
        <w:rPr>
          <w:rFonts w:ascii="Times New Roman" w:hAnsi="Times New Roman" w:cs="Times New Roman"/>
        </w:rPr>
        <w:t>将全过程人民民主理念融入经济社会发展各领域，在规划制定、实施、评估、监督各环节广泛听取和吸纳社会各界、人民群众的意见建议。巩固和发展最广泛的爱国统一战线，完善县委统一领导、统战部门牵头协调、有关方面各负其责的大统战工作格局。加强同工商联、无党派人士和新的社会阶层人士的团结合作，建立健全常态化联系沟通机制和知情明政平台，支持其围绕县域改革发展稳定重点难点问题深入调研、献计出力。充分发挥统一战线在招商引资、招才引智、社会治理、化解矛盾中的独特作用，汇聚起共建“开放新晃、活力新晃、幸福新晃”的磅礴力量。</w:t>
      </w:r>
    </w:p>
    <w:p>
      <w:pPr>
        <w:pStyle w:val="25"/>
        <w:ind w:firstLine="602"/>
        <w:rPr>
          <w:rFonts w:ascii="Times New Roman" w:hAnsi="Times New Roman" w:cs="Times New Roman"/>
        </w:rPr>
      </w:pPr>
      <w:r>
        <w:rPr>
          <w:rFonts w:ascii="Times New Roman" w:hAnsi="Times New Roman" w:eastAsia="楷体" w:cs="Times New Roman"/>
          <w:b/>
          <w:bCs/>
          <w:lang w:val="en-GB"/>
        </w:rPr>
        <w:t>做好民族宗教工作，深化群团建设。</w:t>
      </w:r>
      <w:r>
        <w:rPr>
          <w:rFonts w:ascii="Times New Roman" w:hAnsi="Times New Roman" w:cs="Times New Roman"/>
        </w:rPr>
        <w:t>以铸牢中华民族共同体意识为主线，全面推进民族团结进步事业，持续深化全国民族团结进步示范县创建成果，促进各民族交往交流交融，共同团结奋斗、共同繁荣发展。依法加强宗教事务管理，坚持我国宗教中国化方向，积极引导宗教与社会主义社会相适应，维护宗教领域和谐稳定。深化工会、共青团、妇联等群团组织改革和建设，保持和增强政治性、先进性、群众性，充分发挥其桥梁纽带作用，组织动员所联系群众在产业发展、乡村振兴、基层治理、文明创建中建功立业，更好维护群众合法权益，把各界群众紧密团结在党的周围。</w:t>
      </w:r>
    </w:p>
    <w:p>
      <w:pPr>
        <w:pStyle w:val="29"/>
        <w:numPr>
          <w:ilvl w:val="0"/>
          <w:numId w:val="15"/>
        </w:numPr>
        <w:rPr>
          <w:rFonts w:ascii="Times New Roman" w:hAnsi="Times New Roman" w:cs="Times New Roman"/>
          <w:lang w:val="en-GB"/>
        </w:rPr>
      </w:pPr>
      <w:bookmarkStart w:id="189" w:name="_Toc216945865"/>
      <w:r>
        <w:rPr>
          <w:rFonts w:ascii="Times New Roman" w:hAnsi="Times New Roman" w:cs="Times New Roman"/>
          <w:lang w:val="en-GB"/>
        </w:rPr>
        <w:t>健全规划制定和实施机制</w:t>
      </w:r>
      <w:bookmarkEnd w:id="189"/>
    </w:p>
    <w:p>
      <w:pPr>
        <w:pStyle w:val="25"/>
        <w:ind w:firstLine="602"/>
        <w:rPr>
          <w:rFonts w:ascii="Times New Roman" w:hAnsi="Times New Roman" w:cs="Times New Roman"/>
          <w:lang w:val="en-GB"/>
        </w:rPr>
      </w:pPr>
      <w:r>
        <w:rPr>
          <w:rFonts w:ascii="Times New Roman" w:hAnsi="Times New Roman" w:eastAsia="楷体" w:cs="Times New Roman"/>
          <w:b/>
          <w:bCs/>
          <w:lang w:val="en-GB"/>
        </w:rPr>
        <w:t>强化规划统筹衔接。</w:t>
      </w:r>
      <w:r>
        <w:rPr>
          <w:rFonts w:ascii="Times New Roman" w:hAnsi="Times New Roman" w:cs="Times New Roman"/>
          <w:lang w:val="en-GB"/>
        </w:rPr>
        <w:t>强化本规划纲要对全县经济社会发展的统领作用，空间规划、专项规划、区域规划要切实贯彻本规划纲要的战略意图和主要任务，明确各类规划功能定位，强化衔接协调，形成统一衔接的规划体系。深化本规划纲要在特定领域提出的战略任务，围绕构建现代化产业体系、打造改革开放高地、促进城乡区域协调发展、建设现代化基础设施体系、保障和改善民生、资源节约和环境保护、加强社会治理等方面，编制33个专项规划，量化具体目标，细化任务举措，列出项目清单，作为指导推动相关领域发展的重要依据。</w:t>
      </w:r>
    </w:p>
    <w:p>
      <w:pPr>
        <w:pStyle w:val="25"/>
        <w:ind w:firstLine="602"/>
        <w:rPr>
          <w:rFonts w:ascii="Times New Roman" w:hAnsi="Times New Roman" w:cs="Times New Roman"/>
          <w:lang w:val="en-GB"/>
        </w:rPr>
      </w:pPr>
      <w:r>
        <w:rPr>
          <w:rFonts w:ascii="Times New Roman" w:hAnsi="Times New Roman" w:eastAsia="楷体" w:cs="Times New Roman"/>
          <w:b/>
          <w:bCs/>
          <w:lang w:val="en-GB"/>
        </w:rPr>
        <w:t>强化重大项目支撑。</w:t>
      </w:r>
      <w:r>
        <w:rPr>
          <w:rFonts w:ascii="Times New Roman" w:hAnsi="Times New Roman" w:cs="Times New Roman"/>
          <w:lang w:val="en-GB"/>
        </w:rPr>
        <w:t>坚持项目跟着规划走、资金跟着项目走，围绕“一堡五高地”建设重点领域，谋划储备一批关系全局、影响长远的重大项目，建立重大工程项目库，作为规划实施的重要支撑。健全项目前期工作推进机制，项目牵头部门要制定项目前期推进工作方案，明确“路线图”和“时间表”，对纳入本规划纲要的重大工程项目，要简化审批核准程序，优先保障规划选址、土地供应和融资安排。大力推动重大工程项目实施，落实项目建设条件，加快项目建设进度，加强项目实施全过程监管，优化项目建设环境，确保重大工程项目有序实施。</w:t>
      </w:r>
    </w:p>
    <w:p>
      <w:pPr>
        <w:pStyle w:val="25"/>
        <w:ind w:firstLine="602"/>
        <w:rPr>
          <w:rFonts w:ascii="Times New Roman" w:hAnsi="Times New Roman" w:cs="Times New Roman"/>
          <w:lang w:val="en-GB"/>
        </w:rPr>
      </w:pPr>
      <w:r>
        <w:rPr>
          <w:rFonts w:ascii="Times New Roman" w:hAnsi="Times New Roman" w:eastAsia="楷体" w:cs="Times New Roman"/>
          <w:b/>
          <w:bCs/>
          <w:lang w:val="en-GB"/>
        </w:rPr>
        <w:t>强化监测督导基础。</w:t>
      </w:r>
      <w:r>
        <w:rPr>
          <w:rFonts w:ascii="Times New Roman" w:hAnsi="Times New Roman" w:cs="Times New Roman"/>
          <w:lang w:val="en-GB"/>
        </w:rPr>
        <w:t>县人民政府依据本规划纲要制定实施国民经济和社会发展年度计划，安排年度目标和主要任务，并与县政协全体会议协商、向县人民代表大会报告，自觉接受人大监督、政协民主监督、审计监督和社会监督。要将本规划纲要明确的重点目标任务分解落实到相关乡镇和部门，作为领导班子和领导干部年度考核的重要内容。建立健全重大工程项目、重大政策、重大改革任务督导评估机制，组织开展规划实施年度监测分析、中期评估和总结评估，强化监测评估结果应用。加强规划实施的社会监督，发挥新闻媒体、群团组织等监督作用，促进规划有效实施。确需对本规划进行调整或修订时，由县人民政府提出建议，报县人民代表大会常务委员会批准。</w:t>
      </w:r>
    </w:p>
    <w:p>
      <w:pPr>
        <w:pStyle w:val="25"/>
        <w:ind w:firstLine="0" w:firstLineChars="0"/>
        <w:jc w:val="center"/>
        <w:rPr>
          <w:rFonts w:ascii="Times New Roman" w:hAnsi="Times New Roman" w:eastAsia="黑体" w:cs="Times New Roman"/>
          <w:sz w:val="36"/>
          <w:szCs w:val="28"/>
        </w:rPr>
      </w:pPr>
      <w:bookmarkStart w:id="190" w:name="_Hlk216959722"/>
      <w:r>
        <w:rPr>
          <w:rFonts w:ascii="Times New Roman" w:hAnsi="Times New Roman" w:eastAsia="黑体" w:cs="Times New Roman"/>
          <w:sz w:val="36"/>
          <w:szCs w:val="28"/>
        </w:rPr>
        <w:t>名词解释</w:t>
      </w:r>
    </w:p>
    <w:p>
      <w:pPr>
        <w:pStyle w:val="25"/>
        <w:ind w:firstLine="602"/>
        <w:rPr>
          <w:rFonts w:ascii="Times New Roman" w:hAnsi="Times New Roman" w:cs="Times New Roman"/>
          <w:b/>
          <w:bCs/>
        </w:rPr>
      </w:pPr>
    </w:p>
    <w:p>
      <w:pPr>
        <w:pStyle w:val="25"/>
        <w:numPr>
          <w:ilvl w:val="0"/>
          <w:numId w:val="16"/>
        </w:numPr>
        <w:ind w:firstLineChars="0"/>
        <w:rPr>
          <w:rFonts w:ascii="Times New Roman" w:hAnsi="Times New Roman" w:cs="Times New Roman"/>
        </w:rPr>
      </w:pPr>
      <w:r>
        <w:rPr>
          <w:rFonts w:ascii="Times New Roman" w:hAnsi="Times New Roman" w:cs="Times New Roman"/>
          <w:b/>
          <w:bCs/>
        </w:rPr>
        <w:t>“三高四新”美好蓝图：</w:t>
      </w:r>
      <w:r>
        <w:rPr>
          <w:rFonts w:ascii="Times New Roman" w:hAnsi="Times New Roman" w:cs="Times New Roman"/>
        </w:rPr>
        <w:t>湖南省发展战略。</w:t>
      </w:r>
    </w:p>
    <w:p>
      <w:pPr>
        <w:pStyle w:val="25"/>
        <w:ind w:firstLine="602"/>
        <w:rPr>
          <w:rFonts w:ascii="Times New Roman" w:hAnsi="Times New Roman" w:cs="Times New Roman"/>
        </w:rPr>
      </w:pPr>
      <w:r>
        <w:rPr>
          <w:rFonts w:ascii="Times New Roman" w:hAnsi="Times New Roman" w:cs="Times New Roman"/>
          <w:b/>
          <w:bCs/>
        </w:rPr>
        <w:t>“三高”：</w:t>
      </w:r>
      <w:r>
        <w:rPr>
          <w:rFonts w:ascii="Times New Roman" w:hAnsi="Times New Roman" w:cs="Times New Roman"/>
        </w:rPr>
        <w:t>着力打造国家重要先进制造业高地、具有核心竞争力的科技创新高地、内陆地区改革开放高地。</w:t>
      </w:r>
    </w:p>
    <w:p>
      <w:pPr>
        <w:pStyle w:val="25"/>
        <w:ind w:firstLine="602"/>
        <w:rPr>
          <w:rFonts w:ascii="Times New Roman" w:hAnsi="Times New Roman" w:cs="Times New Roman"/>
        </w:rPr>
      </w:pPr>
      <w:r>
        <w:rPr>
          <w:rFonts w:ascii="Times New Roman" w:hAnsi="Times New Roman" w:cs="Times New Roman"/>
          <w:b/>
          <w:bCs/>
        </w:rPr>
        <w:t>“四新”：</w:t>
      </w:r>
      <w:r>
        <w:rPr>
          <w:rFonts w:ascii="Times New Roman" w:hAnsi="Times New Roman" w:cs="Times New Roman"/>
        </w:rPr>
        <w:t>在推动高质量发展上闯出新路子，在构建新发展格局中展现新作为，在推动中部地区崛起和长江经济带发展中彰显新担当，奋力谱写新时代坚持和发展中国特色社会主义的湖南新篇章。</w:t>
      </w:r>
    </w:p>
    <w:p>
      <w:pPr>
        <w:pStyle w:val="25"/>
        <w:numPr>
          <w:ilvl w:val="0"/>
          <w:numId w:val="16"/>
        </w:numPr>
        <w:ind w:firstLineChars="0"/>
        <w:rPr>
          <w:rFonts w:ascii="Times New Roman" w:hAnsi="Times New Roman" w:cs="Times New Roman"/>
        </w:rPr>
      </w:pPr>
      <w:r>
        <w:rPr>
          <w:rFonts w:ascii="Times New Roman" w:hAnsi="Times New Roman" w:cs="Times New Roman"/>
          <w:b/>
          <w:bCs/>
        </w:rPr>
        <w:t>“五新四城”战略：</w:t>
      </w:r>
      <w:r>
        <w:rPr>
          <w:rFonts w:ascii="Times New Roman" w:hAnsi="Times New Roman" w:cs="Times New Roman"/>
        </w:rPr>
        <w:t>怀化市发展战略。</w:t>
      </w:r>
    </w:p>
    <w:p>
      <w:pPr>
        <w:pStyle w:val="25"/>
        <w:ind w:firstLine="602"/>
        <w:rPr>
          <w:rFonts w:ascii="Times New Roman" w:hAnsi="Times New Roman" w:cs="Times New Roman"/>
        </w:rPr>
      </w:pPr>
      <w:r>
        <w:rPr>
          <w:rFonts w:ascii="Times New Roman" w:hAnsi="Times New Roman" w:cs="Times New Roman"/>
          <w:b/>
          <w:bCs/>
        </w:rPr>
        <w:t>“五新”：</w:t>
      </w:r>
      <w:r>
        <w:rPr>
          <w:rFonts w:ascii="Times New Roman" w:hAnsi="Times New Roman" w:cs="Times New Roman"/>
        </w:rPr>
        <w:t>即举全市之力建设国际陆港，着力打造内陆地区改革开放新高地；突出发展特色优势产业，着力建设现代化产业新体系；坚持生态绿色和数智赋能发展，着力推动发展方式新转型；加快以鹤中一体化为核心的新型城镇化进程，着力构建经济增长新引擎；全面推进乡村振兴，着力绘就山乡巨变新画卷。</w:t>
      </w:r>
    </w:p>
    <w:p>
      <w:pPr>
        <w:pStyle w:val="25"/>
        <w:ind w:firstLine="602"/>
        <w:rPr>
          <w:rFonts w:ascii="Times New Roman" w:hAnsi="Times New Roman" w:cs="Times New Roman"/>
        </w:rPr>
      </w:pPr>
      <w:r>
        <w:rPr>
          <w:rFonts w:ascii="Times New Roman" w:hAnsi="Times New Roman" w:cs="Times New Roman"/>
          <w:b/>
          <w:bCs/>
        </w:rPr>
        <w:t>“四城”：</w:t>
      </w:r>
      <w:r>
        <w:rPr>
          <w:rFonts w:ascii="Times New Roman" w:hAnsi="Times New Roman" w:cs="Times New Roman"/>
        </w:rPr>
        <w:t>即开放活力之城、创新创业之城、生态文旅之城、宜居智慧之城。</w:t>
      </w:r>
    </w:p>
    <w:p>
      <w:pPr>
        <w:pStyle w:val="42"/>
        <w:numPr>
          <w:ilvl w:val="0"/>
          <w:numId w:val="16"/>
        </w:numPr>
        <w:ind w:firstLineChars="0"/>
        <w:rPr>
          <w:rFonts w:ascii="Times New Roman" w:hAnsi="Times New Roman" w:eastAsia="仿宋" w:cs="Times New Roman"/>
          <w:sz w:val="30"/>
        </w:rPr>
      </w:pPr>
      <w:r>
        <w:rPr>
          <w:rFonts w:ascii="Times New Roman" w:hAnsi="Times New Roman" w:eastAsia="仿宋" w:cs="Times New Roman"/>
          <w:b/>
          <w:bCs/>
          <w:sz w:val="30"/>
        </w:rPr>
        <w:t>“晃牛保”：</w:t>
      </w:r>
      <w:r>
        <w:rPr>
          <w:rFonts w:ascii="Times New Roman" w:hAnsi="Times New Roman" w:eastAsia="仿宋" w:cs="Times New Roman"/>
          <w:sz w:val="30"/>
        </w:rPr>
        <w:t>全国首个县域乡村振兴数据产品。其核心是将新晃黄牛产业链的相关数据进行整理、建模，形成可评估养殖风险、用于保险精算的数据产品，并在数据交易所上市交易，实现了数据要素的价值变现。</w:t>
      </w:r>
    </w:p>
    <w:p>
      <w:pPr>
        <w:pStyle w:val="25"/>
        <w:numPr>
          <w:ilvl w:val="0"/>
          <w:numId w:val="16"/>
        </w:numPr>
        <w:ind w:firstLineChars="0"/>
        <w:rPr>
          <w:rFonts w:ascii="Times New Roman" w:hAnsi="Times New Roman" w:cs="Times New Roman"/>
          <w:b/>
          <w:bCs/>
        </w:rPr>
      </w:pPr>
      <w:r>
        <w:rPr>
          <w:rFonts w:ascii="Times New Roman" w:hAnsi="Times New Roman" w:cs="Times New Roman"/>
          <w:b/>
          <w:bCs/>
        </w:rPr>
        <w:t>“1+2+3+N+X”乡村振兴金融服务体系：</w:t>
      </w:r>
    </w:p>
    <w:p>
      <w:pPr>
        <w:pStyle w:val="25"/>
        <w:ind w:left="567" w:firstLine="0" w:firstLineChars="0"/>
        <w:rPr>
          <w:rFonts w:ascii="Times New Roman" w:hAnsi="Times New Roman" w:cs="Times New Roman"/>
        </w:rPr>
      </w:pPr>
      <w:r>
        <w:rPr>
          <w:rFonts w:ascii="Times New Roman" w:hAnsi="Times New Roman" w:cs="Times New Roman"/>
          <w:b/>
          <w:bCs/>
        </w:rPr>
        <w:t>“1”：</w:t>
      </w:r>
      <w:r>
        <w:rPr>
          <w:rFonts w:ascii="Times New Roman" w:hAnsi="Times New Roman" w:cs="Times New Roman"/>
        </w:rPr>
        <w:t>一个中心，建立乡村振兴金融服务中心。</w:t>
      </w:r>
    </w:p>
    <w:p>
      <w:pPr>
        <w:pStyle w:val="25"/>
        <w:ind w:firstLine="602"/>
        <w:rPr>
          <w:rFonts w:ascii="Times New Roman" w:hAnsi="Times New Roman" w:cs="Times New Roman"/>
        </w:rPr>
      </w:pPr>
      <w:r>
        <w:rPr>
          <w:rFonts w:ascii="Times New Roman" w:hAnsi="Times New Roman" w:cs="Times New Roman"/>
          <w:b/>
          <w:bCs/>
        </w:rPr>
        <w:t>“2”：</w:t>
      </w:r>
      <w:r>
        <w:rPr>
          <w:rFonts w:ascii="Times New Roman" w:hAnsi="Times New Roman" w:cs="Times New Roman"/>
        </w:rPr>
        <w:t>两个基金，乡村振兴财政性专项引导基金、民营中小微企业产业融资基金</w:t>
      </w:r>
    </w:p>
    <w:p>
      <w:pPr>
        <w:pStyle w:val="25"/>
        <w:ind w:firstLine="602"/>
        <w:rPr>
          <w:rFonts w:ascii="Times New Roman" w:hAnsi="Times New Roman" w:cs="Times New Roman"/>
        </w:rPr>
      </w:pPr>
      <w:r>
        <w:rPr>
          <w:rFonts w:ascii="Times New Roman" w:hAnsi="Times New Roman" w:cs="Times New Roman"/>
          <w:b/>
          <w:bCs/>
        </w:rPr>
        <w:t>“3”：</w:t>
      </w:r>
      <w:r>
        <w:rPr>
          <w:rFonts w:ascii="Times New Roman" w:hAnsi="Times New Roman" w:cs="Times New Roman"/>
        </w:rPr>
        <w:t>三大体系，全域资产负债管理体系、产业投资发展体系、产业服务（农业担保）体系</w:t>
      </w:r>
    </w:p>
    <w:p>
      <w:pPr>
        <w:pStyle w:val="25"/>
        <w:ind w:firstLine="602"/>
        <w:rPr>
          <w:rFonts w:ascii="Times New Roman" w:hAnsi="Times New Roman" w:cs="Times New Roman"/>
        </w:rPr>
      </w:pPr>
      <w:r>
        <w:rPr>
          <w:rFonts w:ascii="Times New Roman" w:hAnsi="Times New Roman" w:cs="Times New Roman"/>
          <w:b/>
          <w:bCs/>
        </w:rPr>
        <w:t>“N”：</w:t>
      </w:r>
      <w:r>
        <w:rPr>
          <w:rFonts w:ascii="Times New Roman" w:hAnsi="Times New Roman" w:cs="Times New Roman"/>
        </w:rPr>
        <w:t>N个市场化运营主体，培育和发展各类服务于乡村振兴的市场化机构。</w:t>
      </w:r>
    </w:p>
    <w:p>
      <w:pPr>
        <w:pStyle w:val="25"/>
        <w:numPr>
          <w:ilvl w:val="0"/>
          <w:numId w:val="16"/>
        </w:numPr>
        <w:ind w:firstLineChars="0"/>
        <w:rPr>
          <w:rFonts w:ascii="Times New Roman" w:hAnsi="Times New Roman" w:cs="Times New Roman"/>
        </w:rPr>
      </w:pPr>
      <w:r>
        <w:rPr>
          <w:rFonts w:ascii="Times New Roman" w:hAnsi="Times New Roman" w:cs="Times New Roman"/>
          <w:b/>
          <w:bCs/>
        </w:rPr>
        <w:t>“金融超市”政务改革：</w:t>
      </w:r>
      <w:r>
        <w:rPr>
          <w:rFonts w:ascii="Times New Roman" w:hAnsi="Times New Roman" w:cs="Times New Roman"/>
        </w:rPr>
        <w:t>是新晃县在优化营商环境、深化“放管服”改革过程中推出的一项创新性政务服务举措。其核心是通过整合政府、金融机构、企业服务等多方资源，在政务服务中心搭建一个线上线下相结合的综合性金融服务平台，为企业提供“一站式、便捷化、集成化”的金融咨询、产品匹配和业务办理服务，旨在破解企业“融资难、融资慢、融资贵”问题。</w:t>
      </w:r>
    </w:p>
    <w:p>
      <w:pPr>
        <w:pStyle w:val="25"/>
        <w:numPr>
          <w:ilvl w:val="0"/>
          <w:numId w:val="16"/>
        </w:numPr>
        <w:ind w:firstLineChars="0"/>
        <w:rPr>
          <w:rFonts w:ascii="Times New Roman" w:hAnsi="Times New Roman" w:cs="Times New Roman"/>
        </w:rPr>
      </w:pPr>
      <w:r>
        <w:rPr>
          <w:rFonts w:ascii="Times New Roman" w:hAnsi="Times New Roman" w:cs="Times New Roman"/>
          <w:b/>
          <w:bCs/>
        </w:rPr>
        <w:t>“三源共治”：</w:t>
      </w:r>
      <w:r>
        <w:rPr>
          <w:rFonts w:ascii="Times New Roman" w:hAnsi="Times New Roman" w:cs="Times New Roman"/>
        </w:rPr>
        <w:t>对矛盾纠纷源头、信访问题源头、安全风险源头进行系统性治理，实现预防在前、调解优先、实质化解。</w:t>
      </w:r>
    </w:p>
    <w:p>
      <w:pPr>
        <w:pStyle w:val="25"/>
        <w:numPr>
          <w:ilvl w:val="0"/>
          <w:numId w:val="16"/>
        </w:numPr>
        <w:ind w:firstLineChars="0"/>
        <w:rPr>
          <w:rFonts w:ascii="Times New Roman" w:hAnsi="Times New Roman" w:cs="Times New Roman"/>
        </w:rPr>
      </w:pPr>
      <w:r>
        <w:rPr>
          <w:rFonts w:ascii="Times New Roman" w:hAnsi="Times New Roman" w:cs="Times New Roman"/>
          <w:b/>
          <w:bCs/>
        </w:rPr>
        <w:t>湘黔边界“六联”机制：</w:t>
      </w:r>
      <w:r>
        <w:rPr>
          <w:rFonts w:ascii="Times New Roman" w:hAnsi="Times New Roman" w:cs="Times New Roman"/>
        </w:rPr>
        <w:t>是新晃县与贵州省接边县（区）为深化平安边界建设、维护边界地区和谐稳定而创新推行的一套跨区域社会治理协作机制。六联指联谊、联防、联调、联治、联打、联创。</w:t>
      </w:r>
    </w:p>
    <w:p>
      <w:pPr>
        <w:pStyle w:val="25"/>
        <w:numPr>
          <w:ilvl w:val="0"/>
          <w:numId w:val="16"/>
        </w:numPr>
        <w:ind w:firstLineChars="0"/>
        <w:rPr>
          <w:rFonts w:ascii="Times New Roman" w:hAnsi="Times New Roman" w:cs="Times New Roman"/>
        </w:rPr>
      </w:pPr>
      <w:r>
        <w:rPr>
          <w:rFonts w:ascii="Times New Roman" w:hAnsi="Times New Roman" w:cs="Times New Roman"/>
          <w:b/>
          <w:bCs/>
        </w:rPr>
        <w:t>“千万工程”：</w:t>
      </w:r>
      <w:r>
        <w:rPr>
          <w:rFonts w:ascii="Times New Roman" w:hAnsi="Times New Roman" w:cs="Times New Roman"/>
        </w:rPr>
        <w:t>浙江省“千村示范、万村整治”工程，是引领全国乡村振兴、改善农村人居环境的成功实践和经验典范。</w:t>
      </w:r>
    </w:p>
    <w:p>
      <w:pPr>
        <w:pStyle w:val="25"/>
        <w:numPr>
          <w:ilvl w:val="0"/>
          <w:numId w:val="16"/>
        </w:numPr>
        <w:ind w:firstLineChars="0"/>
        <w:rPr>
          <w:rFonts w:ascii="Times New Roman" w:hAnsi="Times New Roman" w:cs="Times New Roman"/>
        </w:rPr>
      </w:pPr>
      <w:r>
        <w:rPr>
          <w:rFonts w:ascii="Times New Roman" w:hAnsi="Times New Roman" w:cs="Times New Roman"/>
          <w:b/>
          <w:bCs/>
        </w:rPr>
        <w:t>RCEP：</w:t>
      </w:r>
      <w:r>
        <w:rPr>
          <w:rFonts w:ascii="Times New Roman" w:hAnsi="Times New Roman" w:cs="Times New Roman"/>
        </w:rPr>
        <w:t>《区域全面经济伙伴关系协定》，是一个由东盟发起，涵盖亚太地区15个国家的大型自由贸易协定。</w:t>
      </w:r>
    </w:p>
    <w:p>
      <w:pPr>
        <w:pStyle w:val="25"/>
        <w:numPr>
          <w:ilvl w:val="0"/>
          <w:numId w:val="16"/>
        </w:numPr>
        <w:ind w:firstLineChars="0"/>
        <w:rPr>
          <w:rFonts w:ascii="Times New Roman" w:hAnsi="Times New Roman" w:cs="Times New Roman"/>
        </w:rPr>
      </w:pPr>
      <w:r>
        <w:rPr>
          <w:rFonts w:ascii="Times New Roman" w:hAnsi="Times New Roman" w:cs="Times New Roman"/>
          <w:b/>
          <w:bCs/>
        </w:rPr>
        <w:t>GAP示范基地：</w:t>
      </w:r>
      <w:r>
        <w:rPr>
          <w:rFonts w:ascii="Times New Roman" w:hAnsi="Times New Roman" w:cs="Times New Roman"/>
        </w:rPr>
        <w:t>“中药材生产质量管理规范”示范基地。</w:t>
      </w:r>
    </w:p>
    <w:p>
      <w:pPr>
        <w:pStyle w:val="25"/>
        <w:numPr>
          <w:ilvl w:val="0"/>
          <w:numId w:val="16"/>
        </w:numPr>
        <w:ind w:firstLineChars="0"/>
        <w:rPr>
          <w:rFonts w:ascii="Times New Roman" w:hAnsi="Times New Roman" w:cs="Times New Roman"/>
        </w:rPr>
      </w:pPr>
      <w:r>
        <w:rPr>
          <w:rFonts w:ascii="Times New Roman" w:hAnsi="Times New Roman" w:cs="Times New Roman"/>
          <w:b/>
          <w:bCs/>
        </w:rPr>
        <w:t>“双随机、一公开”监管：</w:t>
      </w:r>
      <w:r>
        <w:rPr>
          <w:rFonts w:ascii="Times New Roman" w:hAnsi="Times New Roman" w:cs="Times New Roman"/>
        </w:rPr>
        <w:t>在监管过程中随机抽取检查对象，随机选派执法检查人员，抽查情况及查处结果及时向社会公开。旨在规范监管行为，减少执法扰民。</w:t>
      </w:r>
    </w:p>
    <w:p>
      <w:pPr>
        <w:pStyle w:val="25"/>
        <w:numPr>
          <w:ilvl w:val="0"/>
          <w:numId w:val="16"/>
        </w:numPr>
        <w:ind w:firstLineChars="0"/>
        <w:rPr>
          <w:rFonts w:ascii="Times New Roman" w:hAnsi="Times New Roman" w:cs="Times New Roman"/>
        </w:rPr>
      </w:pPr>
      <w:r>
        <w:rPr>
          <w:rFonts w:ascii="Times New Roman" w:hAnsi="Times New Roman" w:cs="Times New Roman"/>
          <w:b/>
          <w:bCs/>
        </w:rPr>
        <w:t>“四员联企”机制：</w:t>
      </w:r>
      <w:r>
        <w:rPr>
          <w:rFonts w:ascii="Times New Roman" w:hAnsi="Times New Roman" w:cs="Times New Roman"/>
        </w:rPr>
        <w:t>派驻企业的政企协调员、行业帮办员、税务指导员、法治护航员，为企业提供全方位、全周期服务。</w:t>
      </w:r>
    </w:p>
    <w:p>
      <w:pPr>
        <w:pStyle w:val="25"/>
        <w:numPr>
          <w:ilvl w:val="0"/>
          <w:numId w:val="16"/>
        </w:numPr>
        <w:ind w:firstLineChars="0"/>
        <w:rPr>
          <w:rFonts w:ascii="Times New Roman" w:hAnsi="Times New Roman" w:cs="Times New Roman"/>
        </w:rPr>
      </w:pPr>
      <w:r>
        <w:rPr>
          <w:rFonts w:ascii="Times New Roman" w:hAnsi="Times New Roman" w:cs="Times New Roman"/>
          <w:b/>
          <w:bCs/>
        </w:rPr>
        <w:t>“综合查一次”：</w:t>
      </w:r>
      <w:r>
        <w:rPr>
          <w:rFonts w:ascii="Times New Roman" w:hAnsi="Times New Roman" w:cs="Times New Roman"/>
        </w:rPr>
        <w:t>针对同一监管对象，统筹多个相关执法部门的检查事项，进行一次性联合检查。</w:t>
      </w:r>
    </w:p>
    <w:p>
      <w:pPr>
        <w:pStyle w:val="25"/>
        <w:numPr>
          <w:ilvl w:val="0"/>
          <w:numId w:val="16"/>
        </w:numPr>
        <w:ind w:firstLineChars="0"/>
        <w:rPr>
          <w:rFonts w:ascii="Times New Roman" w:hAnsi="Times New Roman" w:cs="Times New Roman"/>
        </w:rPr>
      </w:pPr>
      <w:r>
        <w:rPr>
          <w:rFonts w:ascii="Times New Roman" w:hAnsi="Times New Roman" w:cs="Times New Roman"/>
          <w:b/>
          <w:bCs/>
        </w:rPr>
        <w:t>“标准地”：</w:t>
      </w:r>
      <w:r>
        <w:rPr>
          <w:rFonts w:ascii="Times New Roman" w:hAnsi="Times New Roman" w:cs="Times New Roman"/>
        </w:rPr>
        <w:t>在出让工业用地时，附带规划、能耗、环境、投资强度、亩均税收等系列控制指标的土地供应模式。</w:t>
      </w:r>
    </w:p>
    <w:p>
      <w:pPr>
        <w:pStyle w:val="25"/>
        <w:numPr>
          <w:ilvl w:val="0"/>
          <w:numId w:val="16"/>
        </w:numPr>
        <w:ind w:firstLineChars="0"/>
        <w:rPr>
          <w:rFonts w:ascii="Times New Roman" w:hAnsi="Times New Roman" w:cs="Times New Roman"/>
        </w:rPr>
      </w:pPr>
      <w:r>
        <w:rPr>
          <w:rFonts w:ascii="Times New Roman" w:hAnsi="Times New Roman" w:cs="Times New Roman"/>
          <w:b/>
          <w:bCs/>
        </w:rPr>
        <w:t>“企业宁静日”：</w:t>
      </w:r>
      <w:r>
        <w:rPr>
          <w:rFonts w:ascii="Times New Roman" w:hAnsi="Times New Roman" w:cs="Times New Roman"/>
        </w:rPr>
        <w:t>政府为减少对企业的行政干扰，规定在特定时间段内，原则上不安排非紧急的执法检查。</w:t>
      </w:r>
    </w:p>
    <w:p>
      <w:pPr>
        <w:pStyle w:val="25"/>
        <w:numPr>
          <w:ilvl w:val="0"/>
          <w:numId w:val="16"/>
        </w:numPr>
        <w:ind w:firstLineChars="0"/>
        <w:rPr>
          <w:rFonts w:ascii="Times New Roman" w:hAnsi="Times New Roman" w:cs="Times New Roman"/>
        </w:rPr>
      </w:pPr>
      <w:r>
        <w:rPr>
          <w:rFonts w:ascii="Times New Roman" w:hAnsi="Times New Roman" w:cs="Times New Roman"/>
          <w:b/>
          <w:bCs/>
        </w:rPr>
        <w:t>“全国一张清单”管理模式：</w:t>
      </w:r>
      <w:r>
        <w:rPr>
          <w:rFonts w:ascii="Times New Roman" w:hAnsi="Times New Roman" w:cs="Times New Roman"/>
        </w:rPr>
        <w:t>在全国范围内实行统一的市场准入负面清单制度，确保各类市场主体平等准入。</w:t>
      </w:r>
    </w:p>
    <w:p>
      <w:pPr>
        <w:pStyle w:val="25"/>
        <w:numPr>
          <w:ilvl w:val="0"/>
          <w:numId w:val="16"/>
        </w:numPr>
        <w:ind w:firstLineChars="0"/>
        <w:rPr>
          <w:rFonts w:ascii="Times New Roman" w:hAnsi="Times New Roman" w:cs="Times New Roman"/>
        </w:rPr>
      </w:pPr>
      <w:r>
        <w:rPr>
          <w:rFonts w:ascii="Times New Roman" w:hAnsi="Times New Roman" w:cs="Times New Roman"/>
          <w:b/>
          <w:bCs/>
        </w:rPr>
        <w:t>“五定班列”：</w:t>
      </w:r>
      <w:r>
        <w:rPr>
          <w:rFonts w:ascii="Times New Roman" w:hAnsi="Times New Roman" w:cs="Times New Roman"/>
        </w:rPr>
        <w:t>在铁路货运中实行定点、定线、定车次、定时、定价的快速货物列车，具有稳定、高效的运输特点。</w:t>
      </w:r>
    </w:p>
    <w:p>
      <w:pPr>
        <w:pStyle w:val="25"/>
        <w:numPr>
          <w:ilvl w:val="0"/>
          <w:numId w:val="16"/>
        </w:numPr>
        <w:ind w:firstLineChars="0"/>
        <w:rPr>
          <w:rFonts w:ascii="Times New Roman" w:hAnsi="Times New Roman" w:cs="Times New Roman"/>
        </w:rPr>
      </w:pPr>
      <w:r>
        <w:rPr>
          <w:rFonts w:ascii="Times New Roman" w:hAnsi="Times New Roman" w:cs="Times New Roman"/>
          <w:b/>
          <w:bCs/>
        </w:rPr>
        <w:t>“前港后厂”模式：</w:t>
      </w:r>
      <w:r>
        <w:rPr>
          <w:rFonts w:ascii="Times New Roman" w:hAnsi="Times New Roman" w:cs="Times New Roman"/>
        </w:rPr>
        <w:t>一种临港产业布局模式，指在港口后方直接布局加工制造工厂，使货物从厂区直抵港口装船，大幅缩短物流周期、降低成本。</w:t>
      </w:r>
    </w:p>
    <w:p>
      <w:pPr>
        <w:pStyle w:val="25"/>
        <w:numPr>
          <w:ilvl w:val="0"/>
          <w:numId w:val="16"/>
        </w:numPr>
        <w:ind w:firstLineChars="0"/>
        <w:rPr>
          <w:rFonts w:ascii="Times New Roman" w:hAnsi="Times New Roman" w:cs="Times New Roman"/>
        </w:rPr>
      </w:pPr>
      <w:r>
        <w:rPr>
          <w:rFonts w:ascii="Times New Roman" w:hAnsi="Times New Roman" w:cs="Times New Roman"/>
          <w:b/>
          <w:bCs/>
        </w:rPr>
        <w:t>“四色”产业</w:t>
      </w:r>
      <w:r>
        <w:rPr>
          <w:rFonts w:hint="eastAsia" w:ascii="Times New Roman" w:hAnsi="Times New Roman" w:cs="Times New Roman"/>
          <w:b/>
          <w:bCs/>
        </w:rPr>
        <w:t>：</w:t>
      </w:r>
      <w:r>
        <w:rPr>
          <w:rFonts w:hint="eastAsia" w:ascii="Times New Roman" w:hAnsi="Times New Roman" w:cs="Times New Roman"/>
        </w:rPr>
        <w:t>新晃特色产业。包括：</w:t>
      </w:r>
    </w:p>
    <w:p>
      <w:pPr>
        <w:pStyle w:val="25"/>
        <w:ind w:left="567" w:firstLine="0" w:firstLineChars="0"/>
        <w:rPr>
          <w:rFonts w:ascii="Times New Roman" w:hAnsi="Times New Roman" w:cs="Times New Roman"/>
        </w:rPr>
      </w:pPr>
      <w:r>
        <w:rPr>
          <w:rFonts w:hint="eastAsia" w:ascii="Times New Roman" w:hAnsi="Times New Roman" w:cs="Times New Roman"/>
          <w:b/>
          <w:bCs/>
        </w:rPr>
        <w:t>“</w:t>
      </w:r>
      <w:r>
        <w:rPr>
          <w:rFonts w:ascii="Times New Roman" w:hAnsi="Times New Roman" w:cs="Times New Roman"/>
          <w:b/>
          <w:bCs/>
        </w:rPr>
        <w:t>一红</w:t>
      </w:r>
      <w:r>
        <w:rPr>
          <w:rFonts w:hint="eastAsia" w:ascii="Times New Roman" w:hAnsi="Times New Roman" w:cs="Times New Roman"/>
          <w:b/>
          <w:bCs/>
        </w:rPr>
        <w:t>”：</w:t>
      </w:r>
      <w:r>
        <w:rPr>
          <w:rFonts w:ascii="Times New Roman" w:hAnsi="Times New Roman" w:cs="Times New Roman"/>
        </w:rPr>
        <w:t>朱砂</w:t>
      </w:r>
      <w:r>
        <w:rPr>
          <w:rFonts w:hint="eastAsia" w:ascii="Times New Roman" w:hAnsi="Times New Roman" w:cs="Times New Roman"/>
        </w:rPr>
        <w:t>。</w:t>
      </w:r>
    </w:p>
    <w:p>
      <w:pPr>
        <w:pStyle w:val="25"/>
        <w:ind w:left="567" w:firstLine="0" w:firstLineChars="0"/>
        <w:rPr>
          <w:rFonts w:ascii="Times New Roman" w:hAnsi="Times New Roman" w:cs="Times New Roman"/>
        </w:rPr>
      </w:pPr>
      <w:r>
        <w:rPr>
          <w:rFonts w:hint="eastAsia" w:ascii="Times New Roman" w:hAnsi="Times New Roman" w:cs="Times New Roman"/>
          <w:b/>
          <w:bCs/>
        </w:rPr>
        <w:t>“</w:t>
      </w:r>
      <w:r>
        <w:rPr>
          <w:rFonts w:ascii="Times New Roman" w:hAnsi="Times New Roman" w:cs="Times New Roman"/>
          <w:b/>
          <w:bCs/>
        </w:rPr>
        <w:t>二白</w:t>
      </w:r>
      <w:r>
        <w:rPr>
          <w:rFonts w:hint="eastAsia" w:ascii="Times New Roman" w:hAnsi="Times New Roman" w:cs="Times New Roman"/>
          <w:b/>
          <w:bCs/>
        </w:rPr>
        <w:t>”</w:t>
      </w:r>
      <w:r>
        <w:rPr>
          <w:rFonts w:ascii="Times New Roman" w:hAnsi="Times New Roman" w:cs="Times New Roman"/>
          <w:b/>
          <w:bCs/>
        </w:rPr>
        <w:t>：</w:t>
      </w:r>
      <w:r>
        <w:rPr>
          <w:rFonts w:ascii="Times New Roman" w:hAnsi="Times New Roman" w:cs="Times New Roman"/>
        </w:rPr>
        <w:t>重晶石、天然冰片</w:t>
      </w:r>
      <w:r>
        <w:rPr>
          <w:rFonts w:hint="eastAsia" w:ascii="Times New Roman" w:hAnsi="Times New Roman" w:cs="Times New Roman"/>
        </w:rPr>
        <w:t>。</w:t>
      </w:r>
    </w:p>
    <w:p>
      <w:pPr>
        <w:pStyle w:val="25"/>
        <w:ind w:left="567" w:firstLine="0" w:firstLineChars="0"/>
        <w:rPr>
          <w:rFonts w:ascii="Times New Roman" w:hAnsi="Times New Roman" w:cs="Times New Roman"/>
        </w:rPr>
      </w:pPr>
      <w:r>
        <w:rPr>
          <w:rFonts w:hint="eastAsia" w:ascii="Times New Roman" w:hAnsi="Times New Roman" w:cs="Times New Roman"/>
          <w:b/>
          <w:bCs/>
        </w:rPr>
        <w:t>“</w:t>
      </w:r>
      <w:r>
        <w:rPr>
          <w:rFonts w:ascii="Times New Roman" w:hAnsi="Times New Roman" w:cs="Times New Roman"/>
          <w:b/>
          <w:bCs/>
        </w:rPr>
        <w:t>三黄</w:t>
      </w:r>
      <w:r>
        <w:rPr>
          <w:rFonts w:hint="eastAsia" w:ascii="Times New Roman" w:hAnsi="Times New Roman" w:cs="Times New Roman"/>
          <w:b/>
          <w:bCs/>
        </w:rPr>
        <w:t>”</w:t>
      </w:r>
      <w:r>
        <w:rPr>
          <w:rFonts w:ascii="Times New Roman" w:hAnsi="Times New Roman" w:cs="Times New Roman"/>
          <w:b/>
          <w:bCs/>
        </w:rPr>
        <w:t>：</w:t>
      </w:r>
      <w:r>
        <w:rPr>
          <w:rFonts w:ascii="Times New Roman" w:hAnsi="Times New Roman" w:cs="Times New Roman"/>
        </w:rPr>
        <w:t>黄精、黄牛、烤烟</w:t>
      </w:r>
      <w:r>
        <w:rPr>
          <w:rFonts w:hint="eastAsia" w:ascii="Times New Roman" w:hAnsi="Times New Roman" w:cs="Times New Roman"/>
        </w:rPr>
        <w:t>。</w:t>
      </w:r>
    </w:p>
    <w:p>
      <w:pPr>
        <w:pStyle w:val="25"/>
        <w:ind w:left="567" w:firstLine="0" w:firstLineChars="0"/>
        <w:rPr>
          <w:rFonts w:ascii="Times New Roman" w:hAnsi="Times New Roman" w:cs="Times New Roman"/>
        </w:rPr>
      </w:pPr>
      <w:r>
        <w:rPr>
          <w:rFonts w:hint="eastAsia" w:ascii="Times New Roman" w:hAnsi="Times New Roman" w:cs="Times New Roman"/>
          <w:b/>
          <w:bCs/>
        </w:rPr>
        <w:t>“</w:t>
      </w:r>
      <w:r>
        <w:rPr>
          <w:rFonts w:ascii="Times New Roman" w:hAnsi="Times New Roman" w:cs="Times New Roman"/>
          <w:b/>
          <w:bCs/>
        </w:rPr>
        <w:t>四绿</w:t>
      </w:r>
      <w:r>
        <w:rPr>
          <w:rFonts w:hint="eastAsia" w:ascii="Times New Roman" w:hAnsi="Times New Roman" w:cs="Times New Roman"/>
          <w:b/>
          <w:bCs/>
        </w:rPr>
        <w:t>”</w:t>
      </w:r>
      <w:r>
        <w:rPr>
          <w:rFonts w:ascii="Times New Roman" w:hAnsi="Times New Roman" w:cs="Times New Roman"/>
          <w:b/>
          <w:bCs/>
        </w:rPr>
        <w:t>：</w:t>
      </w:r>
      <w:r>
        <w:rPr>
          <w:rFonts w:ascii="Times New Roman" w:hAnsi="Times New Roman" w:cs="Times New Roman"/>
        </w:rPr>
        <w:t>绿色生态、绿色康养、绿色能源、生产性服务业</w:t>
      </w:r>
      <w:r>
        <w:rPr>
          <w:rFonts w:hint="eastAsia" w:ascii="Times New Roman" w:hAnsi="Times New Roman" w:cs="Times New Roman"/>
        </w:rPr>
        <w:t>。</w:t>
      </w:r>
    </w:p>
    <w:p>
      <w:pPr>
        <w:pStyle w:val="25"/>
        <w:numPr>
          <w:ilvl w:val="0"/>
          <w:numId w:val="16"/>
        </w:numPr>
        <w:ind w:firstLineChars="0"/>
        <w:rPr>
          <w:rFonts w:ascii="Times New Roman" w:hAnsi="Times New Roman" w:cs="Times New Roman"/>
        </w:rPr>
      </w:pPr>
      <w:r>
        <w:rPr>
          <w:rFonts w:ascii="Times New Roman" w:hAnsi="Times New Roman" w:cs="Times New Roman"/>
          <w:b/>
          <w:bCs/>
        </w:rPr>
        <w:t>“1+1+1”现代化产业体系：</w:t>
      </w:r>
      <w:r>
        <w:rPr>
          <w:rFonts w:ascii="Times New Roman" w:hAnsi="Times New Roman" w:cs="Times New Roman"/>
        </w:rPr>
        <w:t>着力构建以绿色矿业为主导、以中医药与生态食品为特色、以文旅康养为新增长极的“1+1+1”现代化产业体系。</w:t>
      </w:r>
    </w:p>
    <w:p>
      <w:pPr>
        <w:pStyle w:val="25"/>
        <w:numPr>
          <w:ilvl w:val="0"/>
          <w:numId w:val="16"/>
        </w:numPr>
        <w:ind w:firstLineChars="0"/>
        <w:rPr>
          <w:rFonts w:ascii="Times New Roman" w:hAnsi="Times New Roman" w:cs="Times New Roman"/>
        </w:rPr>
      </w:pPr>
      <w:r>
        <w:rPr>
          <w:rFonts w:ascii="Times New Roman" w:hAnsi="Times New Roman" w:cs="Times New Roman"/>
          <w:b/>
          <w:bCs/>
        </w:rPr>
        <w:t>“银政企农”合作：</w:t>
      </w:r>
      <w:r>
        <w:rPr>
          <w:rFonts w:ascii="Times New Roman" w:hAnsi="Times New Roman" w:cs="Times New Roman"/>
        </w:rPr>
        <w:t>在金融服务乡村振兴中，建立银行、政府、企业、农户四方风险共担、利益共享的合作模式，旨在破解农业融资难题。</w:t>
      </w:r>
    </w:p>
    <w:p>
      <w:pPr>
        <w:pStyle w:val="25"/>
        <w:numPr>
          <w:ilvl w:val="0"/>
          <w:numId w:val="16"/>
        </w:numPr>
        <w:ind w:firstLineChars="0"/>
        <w:rPr>
          <w:rFonts w:ascii="Times New Roman" w:hAnsi="Times New Roman" w:cs="Times New Roman"/>
        </w:rPr>
      </w:pPr>
      <w:r>
        <w:rPr>
          <w:rFonts w:ascii="Times New Roman" w:hAnsi="Times New Roman" w:cs="Times New Roman"/>
          <w:b/>
          <w:bCs/>
        </w:rPr>
        <w:t>“点状”供地：</w:t>
      </w:r>
      <w:r>
        <w:rPr>
          <w:rFonts w:ascii="Times New Roman" w:hAnsi="Times New Roman" w:cs="Times New Roman"/>
        </w:rPr>
        <w:t>在城镇开发边界外，对乡村产业项目及其配套项目，按照“建多少、转多少、供多少”的原则，进行点状报批和供应建设用地的灵活政策。</w:t>
      </w:r>
    </w:p>
    <w:p>
      <w:pPr>
        <w:pStyle w:val="25"/>
        <w:numPr>
          <w:ilvl w:val="0"/>
          <w:numId w:val="16"/>
        </w:numPr>
        <w:ind w:firstLineChars="0"/>
        <w:rPr>
          <w:rFonts w:ascii="Times New Roman" w:hAnsi="Times New Roman" w:cs="Times New Roman"/>
        </w:rPr>
      </w:pPr>
      <w:r>
        <w:rPr>
          <w:rFonts w:ascii="Times New Roman" w:hAnsi="Times New Roman" w:cs="Times New Roman"/>
          <w:b/>
          <w:bCs/>
        </w:rPr>
        <w:t>UAM（城市空中交通）：</w:t>
      </w:r>
      <w:r>
        <w:rPr>
          <w:rFonts w:ascii="Times New Roman" w:hAnsi="Times New Roman" w:cs="Times New Roman"/>
        </w:rPr>
        <w:t>城市低空经济的重要组成部分，指利用电动垂直起降航空器等新型航空器，在城市内部或城际间提供客运或货运的交通系统。</w:t>
      </w:r>
    </w:p>
    <w:p>
      <w:pPr>
        <w:pStyle w:val="25"/>
        <w:numPr>
          <w:ilvl w:val="0"/>
          <w:numId w:val="16"/>
        </w:numPr>
        <w:ind w:firstLineChars="0"/>
        <w:rPr>
          <w:rFonts w:ascii="Times New Roman" w:hAnsi="Times New Roman" w:cs="Times New Roman"/>
        </w:rPr>
      </w:pPr>
      <w:r>
        <w:rPr>
          <w:rFonts w:ascii="Times New Roman" w:hAnsi="Times New Roman" w:cs="Times New Roman"/>
          <w:b/>
          <w:bCs/>
        </w:rPr>
        <w:t>EOD模式：</w:t>
      </w:r>
      <w:r>
        <w:rPr>
          <w:rFonts w:ascii="Times New Roman" w:hAnsi="Times New Roman" w:cs="Times New Roman"/>
        </w:rPr>
        <w:t>生态环境导向的开发模式。即以生态保护和环境治理为基础，以特色产业运营为支撑，以区域综合开发为载体，推动公益性较强、收益性差的生态环境治理项目与收益较好的关联产业一体化实施，实现项目整体收支平衡的创新性项目组织实施方式。</w:t>
      </w:r>
    </w:p>
    <w:p>
      <w:pPr>
        <w:pStyle w:val="25"/>
        <w:numPr>
          <w:ilvl w:val="0"/>
          <w:numId w:val="16"/>
        </w:numPr>
        <w:ind w:firstLineChars="0"/>
        <w:rPr>
          <w:rFonts w:ascii="Times New Roman" w:hAnsi="Times New Roman" w:cs="Times New Roman"/>
        </w:rPr>
      </w:pPr>
      <w:r>
        <w:rPr>
          <w:rFonts w:ascii="Times New Roman" w:hAnsi="Times New Roman" w:cs="Times New Roman"/>
          <w:b/>
          <w:bCs/>
        </w:rPr>
        <w:t>CCUS：</w:t>
      </w:r>
      <w:r>
        <w:rPr>
          <w:rFonts w:ascii="Times New Roman" w:hAnsi="Times New Roman" w:cs="Times New Roman"/>
        </w:rPr>
        <w:t>碳捕集、利用与封存。将工业生产过程中的二氧化碳捕集分离，加以利用或注入地下封存，以实现二氧化碳减排的技术过程。</w:t>
      </w:r>
      <w:bookmarkEnd w:id="190"/>
    </w:p>
    <w:p>
      <w:pPr>
        <w:pStyle w:val="25"/>
        <w:ind w:firstLine="600"/>
        <w:rPr>
          <w:rFonts w:ascii="Times New Roman" w:hAnsi="Times New Roman" w:cs="Times New Roma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等线 Light">
    <w:altName w:val="华文中宋"/>
    <w:panose1 w:val="02010600030101010101"/>
    <w:charset w:val="86"/>
    <w:family w:val="auto"/>
    <w:pitch w:val="default"/>
    <w:sig w:usb0="00000000" w:usb1="00000000" w:usb2="00000016" w:usb3="00000000" w:csb0="0004000F"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Microsoft YaHei UI">
    <w:altName w:val="Droid Sans Fallback"/>
    <w:panose1 w:val="020B0503020204020204"/>
    <w:charset w:val="86"/>
    <w:family w:val="swiss"/>
    <w:pitch w:val="default"/>
    <w:sig w:usb0="00000000" w:usb1="00000000" w:usb2="00000016" w:usb3="00000000" w:csb0="0004001F" w:csb1="00000000"/>
  </w:font>
  <w:font w:name="Droid Sans Fallback">
    <w:panose1 w:val="020B0502000000000001"/>
    <w:charset w:val="86"/>
    <w:family w:val="auto"/>
    <w:pitch w:val="default"/>
    <w:sig w:usb0="910002FF" w:usb1="2BDFFCFB" w:usb2="00000036" w:usb3="00000000" w:csb0="203F01FF" w:csb1="D7FF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等线">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Liberation Serif">
    <w:panose1 w:val="02020603050405020304"/>
    <w:charset w:val="00"/>
    <w:family w:val="auto"/>
    <w:pitch w:val="default"/>
    <w:sig w:usb0="A00002AF" w:usb1="500078FB" w:usb2="00000000" w:usb3="00000000" w:csb0="6000009F" w:csb1="DFD70000"/>
  </w:font>
  <w:font w:name="等线 Light">
    <w:altName w:val="C059"/>
    <w:panose1 w:val="00000000000000000000"/>
    <w:charset w:val="00"/>
    <w:family w:val="auto"/>
    <w:pitch w:val="default"/>
    <w:sig w:usb0="00000000" w:usb1="00000000" w:usb2="00000000" w:usb3="00000000" w:csb0="00000000" w:csb1="00000000"/>
  </w:font>
  <w:font w:name="CESI仿宋-GB18030">
    <w:panose1 w:val="02000500000000000000"/>
    <w:charset w:val="86"/>
    <w:family w:val="auto"/>
    <w:pitch w:val="default"/>
    <w:sig w:usb0="A00002BF" w:usb1="38C7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posOffset>4803140</wp:posOffset>
              </wp:positionH>
              <wp:positionV relativeFrom="paragraph">
                <wp:posOffset>0</wp:posOffset>
              </wp:positionV>
              <wp:extent cx="957580" cy="194310"/>
              <wp:effectExtent l="0" t="0" r="0" b="0"/>
              <wp:wrapNone/>
              <wp:docPr id="4" name="文本框 4"/>
              <wp:cNvGraphicFramePr/>
              <a:graphic xmlns:a="http://schemas.openxmlformats.org/drawingml/2006/main">
                <a:graphicData uri="http://schemas.microsoft.com/office/word/2010/wordprocessingShape">
                  <wps:wsp>
                    <wps:cNvSpPr txBox="1"/>
                    <wps:spPr>
                      <a:xfrm>
                        <a:off x="0" y="0"/>
                        <a:ext cx="957580" cy="1943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wordWrap w:val="0"/>
                            <w:jc w:val="right"/>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1</w:t>
                          </w:r>
                          <w:r>
                            <w:rPr>
                              <w:rFonts w:hint="default" w:ascii="Times New Roman" w:hAnsi="Times New Roman" w:cs="Times New Roman"/>
                              <w:sz w:val="24"/>
                              <w:szCs w:val="24"/>
                              <w:lang w:eastAsia="zh-CN"/>
                            </w:rPr>
                            <w:fldChar w:fldCharType="end"/>
                          </w:r>
                          <w:r>
                            <w:rPr>
                              <w:rFonts w:hint="default" w:ascii="Times New Roman" w:hAnsi="Times New Roman" w:cs="Times New Roman"/>
                              <w:sz w:val="24"/>
                              <w:szCs w:val="24"/>
                              <w:lang w:val="en-US"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78.2pt;margin-top:0pt;height:15.3pt;width:75.4pt;mso-position-horizontal-relative:margin;z-index:251659264;mso-width-relative:page;mso-height-relative:page;" filled="f" stroked="f" coordsize="21600,21600" o:gfxdata="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FgAAAGRycy9QSwECFAAUAAAACACHTuJAtDSMwtYAAAAHAQAADwAAAAAA&#10;AAABACAAAAA4AAAAZHJzL2Rvd25yZXYueG1sUEsBAhQAFAAAAAgAh07iQPsb2vk4AgAAYQQAAA4A&#10;AAAAAAAAAQAgAAAAOwEAAGRycy9lMm9Eb2MueG1sUEsFBgAAAAAGAAYAWQEAAOUFAAAAAA==&#10;">
              <v:fill on="f" focussize="0,0"/>
              <v:stroke on="f" weight="0.5pt"/>
              <v:imagedata o:title=""/>
              <o:lock v:ext="edit" aspectratio="f"/>
              <v:textbox inset="0mm,0mm,0mm,0mm">
                <w:txbxContent>
                  <w:p>
                    <w:pPr>
                      <w:pStyle w:val="12"/>
                      <w:wordWrap w:val="0"/>
                      <w:jc w:val="right"/>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1</w:t>
                    </w:r>
                    <w:r>
                      <w:rPr>
                        <w:rFonts w:hint="default" w:ascii="Times New Roman" w:hAnsi="Times New Roman" w:cs="Times New Roman"/>
                        <w:sz w:val="24"/>
                        <w:szCs w:val="24"/>
                        <w:lang w:eastAsia="zh-CN"/>
                      </w:rPr>
                      <w:fldChar w:fldCharType="end"/>
                    </w:r>
                    <w:r>
                      <w:rPr>
                        <w:rFonts w:hint="default" w:ascii="Times New Roman" w:hAnsi="Times New Roman" w:cs="Times New Roman"/>
                        <w:sz w:val="24"/>
                        <w:szCs w:val="24"/>
                        <w:lang w:val="en-US"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snapToGrid w:val="0"/>
      <w:spacing w:line="320" w:lineRule="exact"/>
      <w:ind w:firstLine="363"/>
      <w:textAlignment w:val="auto"/>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0</wp:posOffset>
              </wp:positionV>
              <wp:extent cx="745490" cy="194310"/>
              <wp:effectExtent l="0" t="0" r="0" b="0"/>
              <wp:wrapNone/>
              <wp:docPr id="5" name="文本框 5"/>
              <wp:cNvGraphicFramePr/>
              <a:graphic xmlns:a="http://schemas.openxmlformats.org/drawingml/2006/main">
                <a:graphicData uri="http://schemas.microsoft.com/office/word/2010/wordprocessingShape">
                  <wps:wsp>
                    <wps:cNvSpPr txBox="1"/>
                    <wps:spPr>
                      <a:xfrm>
                        <a:off x="0" y="0"/>
                        <a:ext cx="745490" cy="1943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2</w:t>
                          </w:r>
                          <w:r>
                            <w:rPr>
                              <w:rFonts w:hint="default" w:ascii="Times New Roman" w:hAnsi="Times New Roman" w:cs="Times New Roman"/>
                              <w:sz w:val="24"/>
                              <w:szCs w:val="24"/>
                              <w:lang w:eastAsia="zh-CN"/>
                            </w:rPr>
                            <w:fldChar w:fldCharType="end"/>
                          </w:r>
                          <w:r>
                            <w:rPr>
                              <w:rFonts w:hint="default" w:ascii="Times New Roman" w:hAnsi="Times New Roman" w:cs="Times New Roman"/>
                              <w:sz w:val="24"/>
                              <w:szCs w:val="24"/>
                              <w:lang w:val="en-US"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5.3pt;width:58.7pt;mso-position-horizontal-relative:margin;z-index:251660288;mso-width-relative:page;mso-height-relative:page;" filled="f" stroked="f" coordsize="21600,21600" o:gfxdata="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FgAAAGRycy9QSwECFAAUAAAACACHTuJAfwoiutQAAAAEAQAADwAAAAAAAAAB&#10;ACAAAAA4AAAAZHJzL2Rvd25yZXYueG1sUEsBAhQAFAAAAAgAh07iQOQPC783AgAAYQQAAA4AAAAA&#10;AAAAAQAgAAAAOQEAAGRycy9lMm9Eb2MueG1sUEsFBgAAAAAGAAYAWQEAAOIFAAAAAA==&#10;">
              <v:fill on="f" focussize="0,0"/>
              <v:stroke on="f" weight="0.5pt"/>
              <v:imagedata o:title=""/>
              <o:lock v:ext="edit" aspectratio="f"/>
              <v:textbox inset="0mm,0mm,0mm,0mm">
                <w:txbxContent>
                  <w:p>
                    <w:pPr>
                      <w:pStyle w:val="12"/>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eastAsia="zh-CN"/>
                      </w:rPr>
                      <w:t>—</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2</w:t>
                    </w:r>
                    <w:r>
                      <w:rPr>
                        <w:rFonts w:hint="default" w:ascii="Times New Roman" w:hAnsi="Times New Roman" w:cs="Times New Roman"/>
                        <w:sz w:val="24"/>
                        <w:szCs w:val="24"/>
                        <w:lang w:eastAsia="zh-CN"/>
                      </w:rPr>
                      <w:fldChar w:fldCharType="end"/>
                    </w:r>
                    <w:r>
                      <w:rPr>
                        <w:rFonts w:hint="default" w:ascii="Times New Roman" w:hAnsi="Times New Roman" w:cs="Times New Roman"/>
                        <w:sz w:val="24"/>
                        <w:szCs w:val="24"/>
                        <w:lang w:val="en-US"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snapToGrid w:val="0"/>
      <w:spacing w:line="320" w:lineRule="exact"/>
      <w:textAlignment w:val="auto"/>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snapToGrid w:val="0"/>
      <w:spacing w:line="320" w:lineRule="exact"/>
      <w:ind w:firstLine="363"/>
      <w:textAlignment w:val="auto"/>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687247284"/>
                          </w:sdtPr>
                          <w:sdtContent>
                            <w:p>
                              <w:pPr>
                                <w:pStyle w:val="12"/>
                                <w:jc w:val="center"/>
                              </w:pPr>
                              <w:r>
                                <w:fldChar w:fldCharType="begin"/>
                              </w:r>
                              <w:r>
                                <w:instrText xml:space="preserve">PAGE   \* MERGEFORMAT</w:instrText>
                              </w:r>
                              <w:r>
                                <w:fldChar w:fldCharType="separate"/>
                              </w:r>
                              <w:r>
                                <w:rPr>
                                  <w:lang w:val="zh-CN"/>
                                </w:rPr>
                                <w:t>2</w:t>
                              </w:r>
                              <w:r>
                                <w:fldChar w:fldCharType="end"/>
                              </w:r>
                            </w:p>
                          </w:sdtContent>
                        </w:sdt>
                        <w:p>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sdt>
                    <w:sdtPr>
                      <w:id w:val="1687247284"/>
                    </w:sdtPr>
                    <w:sdtContent>
                      <w:p>
                        <w:pPr>
                          <w:pStyle w:val="12"/>
                          <w:jc w:val="center"/>
                        </w:pPr>
                        <w:r>
                          <w:fldChar w:fldCharType="begin"/>
                        </w:r>
                        <w:r>
                          <w:instrText xml:space="preserve">PAGE   \* MERGEFORMAT</w:instrText>
                        </w:r>
                        <w:r>
                          <w:fldChar w:fldCharType="separate"/>
                        </w:r>
                        <w:r>
                          <w:rPr>
                            <w:lang w:val="zh-CN"/>
                          </w:rPr>
                          <w:t>2</w:t>
                        </w:r>
                        <w:r>
                          <w:fldChar w:fldCharType="end"/>
                        </w:r>
                      </w:p>
                    </w:sdtContent>
                  </w:sdt>
                  <w:p>
                    <w:pPr>
                      <w:pStyle w:val="2"/>
                    </w:pPr>
                  </w:p>
                </w:txbxContent>
              </v:textbox>
            </v:shape>
          </w:pict>
        </mc:Fallback>
      </mc:AlternateContent>
    </w:r>
  </w:p>
  <w:p>
    <w:pPr>
      <w:pStyle w:val="12"/>
      <w:ind w:firstLine="360"/>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keepNext w:val="0"/>
      <w:keepLines w:val="0"/>
      <w:pageBreakBefore w:val="0"/>
      <w:widowControl w:val="0"/>
      <w:kinsoku/>
      <w:wordWrap/>
      <w:overflowPunct/>
      <w:topLinePunct w:val="0"/>
      <w:autoSpaceDE/>
      <w:autoSpaceDN/>
      <w:bidi w:val="0"/>
      <w:adjustRightInd/>
      <w:snapToGrid w:val="0"/>
      <w:spacing w:line="320" w:lineRule="exact"/>
      <w:ind w:firstLine="363"/>
      <w:textAlignment w:val="auto"/>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posOffset>0</wp:posOffset>
              </wp:positionH>
              <wp:positionV relativeFrom="paragraph">
                <wp:posOffset>0</wp:posOffset>
              </wp:positionV>
              <wp:extent cx="745490" cy="194310"/>
              <wp:effectExtent l="0" t="0" r="0" b="0"/>
              <wp:wrapNone/>
              <wp:docPr id="7" name="文本框 7"/>
              <wp:cNvGraphicFramePr/>
              <a:graphic xmlns:a="http://schemas.openxmlformats.org/drawingml/2006/main">
                <a:graphicData uri="http://schemas.microsoft.com/office/word/2010/wordprocessingShape">
                  <wps:wsp>
                    <wps:cNvSpPr txBox="1"/>
                    <wps:spPr>
                      <a:xfrm>
                        <a:off x="0" y="0"/>
                        <a:ext cx="745490" cy="1943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2</w:t>
                          </w:r>
                          <w:r>
                            <w:rPr>
                              <w:rFonts w:hint="default" w:ascii="Times New Roman" w:hAnsi="Times New Roman" w:cs="Times New Roman"/>
                              <w:sz w:val="24"/>
                              <w:szCs w:val="24"/>
                              <w:lang w:eastAsia="zh-CN"/>
                            </w:rPr>
                            <w:fldChar w:fldCharType="end"/>
                          </w:r>
                          <w:r>
                            <w:rPr>
                              <w:rFonts w:hint="default" w:ascii="Times New Roman" w:hAnsi="Times New Roman" w:cs="Times New Roman"/>
                              <w:sz w:val="24"/>
                              <w:szCs w:val="24"/>
                              <w:lang w:val="en-US" w:eastAsia="zh-CN"/>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5.3pt;width:58.7pt;mso-position-horizontal-relative:margin;z-index:251662336;mso-width-relative:page;mso-height-relative:page;" filled="f" stroked="f" coordsize="21600,21600" o:gfxdata="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BYAAABkcnMvUEsBAhQAFAAAAAgAh07iQH8KIrrUAAAABAEAAA8AAAAAAAAA&#10;AQAgAAAAOAAAAGRycy9kb3ducmV2LnhtbFBLAQIUABQAAAAIAIdO4kBuCiHKOAIAAGEEAAAOAAAA&#10;AAAAAAEAIAAAADkBAABkcnMvZTJvRG9jLnhtbFBLBQYAAAAABgAGAFkBAADjBQAAAAA=&#10;">
              <v:fill on="f" focussize="0,0"/>
              <v:stroke on="f" weight="0.5pt"/>
              <v:imagedata o:title=""/>
              <o:lock v:ext="edit" aspectratio="f"/>
              <v:textbox inset="0mm,0mm,0mm,0mm">
                <w:txbxContent>
                  <w:p>
                    <w:pPr>
                      <w:pStyle w:val="12"/>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lang w:eastAsia="zh-CN"/>
                      </w:rPr>
                      <w:fldChar w:fldCharType="begin"/>
                    </w:r>
                    <w:r>
                      <w:rPr>
                        <w:rFonts w:hint="default" w:ascii="Times New Roman" w:hAnsi="Times New Roman" w:cs="Times New Roman"/>
                        <w:sz w:val="24"/>
                        <w:szCs w:val="24"/>
                        <w:lang w:eastAsia="zh-CN"/>
                      </w:rPr>
                      <w:instrText xml:space="preserve"> PAGE  \* MERGEFORMAT </w:instrText>
                    </w:r>
                    <w:r>
                      <w:rPr>
                        <w:rFonts w:hint="default" w:ascii="Times New Roman" w:hAnsi="Times New Roman" w:cs="Times New Roman"/>
                        <w:sz w:val="24"/>
                        <w:szCs w:val="24"/>
                        <w:lang w:eastAsia="zh-CN"/>
                      </w:rPr>
                      <w:fldChar w:fldCharType="separate"/>
                    </w:r>
                    <w:r>
                      <w:rPr>
                        <w:rFonts w:hint="default" w:ascii="Times New Roman" w:hAnsi="Times New Roman" w:cs="Times New Roman"/>
                        <w:sz w:val="24"/>
                        <w:szCs w:val="24"/>
                        <w:lang w:eastAsia="zh-CN"/>
                      </w:rPr>
                      <w:t>2</w:t>
                    </w:r>
                    <w:r>
                      <w:rPr>
                        <w:rFonts w:hint="default" w:ascii="Times New Roman" w:hAnsi="Times New Roman" w:cs="Times New Roman"/>
                        <w:sz w:val="24"/>
                        <w:szCs w:val="24"/>
                        <w:lang w:eastAsia="zh-CN"/>
                      </w:rPr>
                      <w:fldChar w:fldCharType="end"/>
                    </w:r>
                    <w:r>
                      <w:rPr>
                        <w:rFonts w:hint="default" w:ascii="Times New Roman" w:hAnsi="Times New Roman" w:cs="Times New Roman"/>
                        <w:sz w:val="24"/>
                        <w:szCs w:val="24"/>
                        <w:lang w:val="en-US" w:eastAsia="zh-CN"/>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A8416E"/>
    <w:multiLevelType w:val="multilevel"/>
    <w:tmpl w:val="10A8416E"/>
    <w:lvl w:ilvl="0" w:tentative="0">
      <w:start w:val="1"/>
      <w:numFmt w:val="japaneseCounting"/>
      <w:lvlText w:val="第%1节"/>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121B5A61"/>
    <w:multiLevelType w:val="multilevel"/>
    <w:tmpl w:val="121B5A61"/>
    <w:lvl w:ilvl="0" w:tentative="0">
      <w:start w:val="1"/>
      <w:numFmt w:val="japaneseCounting"/>
      <w:lvlText w:val="第%1节"/>
      <w:lvlJc w:val="left"/>
      <w:pPr>
        <w:ind w:left="1275" w:hanging="1275"/>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16A61029"/>
    <w:multiLevelType w:val="multilevel"/>
    <w:tmpl w:val="16A61029"/>
    <w:lvl w:ilvl="0" w:tentative="0">
      <w:start w:val="1"/>
      <w:numFmt w:val="japaneseCounting"/>
      <w:lvlText w:val="第%1节"/>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1B7755EF"/>
    <w:multiLevelType w:val="multilevel"/>
    <w:tmpl w:val="1B7755EF"/>
    <w:lvl w:ilvl="0" w:tentative="0">
      <w:start w:val="1"/>
      <w:numFmt w:val="japaneseCounting"/>
      <w:lvlText w:val="第%1节"/>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1DF90FE1"/>
    <w:multiLevelType w:val="multilevel"/>
    <w:tmpl w:val="1DF90FE1"/>
    <w:lvl w:ilvl="0" w:tentative="0">
      <w:start w:val="1"/>
      <w:numFmt w:val="japaneseCounting"/>
      <w:lvlText w:val="第%1节"/>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23AA7A8F"/>
    <w:multiLevelType w:val="multilevel"/>
    <w:tmpl w:val="23AA7A8F"/>
    <w:lvl w:ilvl="0" w:tentative="0">
      <w:start w:val="1"/>
      <w:numFmt w:val="japaneseCounting"/>
      <w:lvlText w:val="第%1节"/>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29875AD4"/>
    <w:multiLevelType w:val="multilevel"/>
    <w:tmpl w:val="29875AD4"/>
    <w:lvl w:ilvl="0" w:tentative="0">
      <w:start w:val="1"/>
      <w:numFmt w:val="japaneseCounting"/>
      <w:lvlText w:val="第%1节"/>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381E05D8"/>
    <w:multiLevelType w:val="multilevel"/>
    <w:tmpl w:val="381E05D8"/>
    <w:lvl w:ilvl="0" w:tentative="0">
      <w:start w:val="1"/>
      <w:numFmt w:val="japaneseCounting"/>
      <w:lvlText w:val="第%1节"/>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42050522"/>
    <w:multiLevelType w:val="multilevel"/>
    <w:tmpl w:val="42050522"/>
    <w:lvl w:ilvl="0" w:tentative="0">
      <w:start w:val="1"/>
      <w:numFmt w:val="japaneseCounting"/>
      <w:lvlText w:val="第%1节"/>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
    <w:nsid w:val="46C06930"/>
    <w:multiLevelType w:val="multilevel"/>
    <w:tmpl w:val="46C06930"/>
    <w:lvl w:ilvl="0" w:tentative="0">
      <w:start w:val="1"/>
      <w:numFmt w:val="japaneseCounting"/>
      <w:lvlText w:val="第%1节"/>
      <w:lvlJc w:val="left"/>
      <w:pPr>
        <w:ind w:left="1125" w:hanging="1125"/>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
    <w:nsid w:val="57A0589C"/>
    <w:multiLevelType w:val="multilevel"/>
    <w:tmpl w:val="57A0589C"/>
    <w:lvl w:ilvl="0" w:tentative="0">
      <w:start w:val="1"/>
      <w:numFmt w:val="japaneseCounting"/>
      <w:lvlText w:val="第%1章"/>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1">
    <w:nsid w:val="5A524675"/>
    <w:multiLevelType w:val="multilevel"/>
    <w:tmpl w:val="5A524675"/>
    <w:lvl w:ilvl="0" w:tentative="0">
      <w:start w:val="1"/>
      <w:numFmt w:val="decimal"/>
      <w:suff w:val="space"/>
      <w:lvlText w:val="%1."/>
      <w:lvlJc w:val="left"/>
      <w:pPr>
        <w:ind w:left="0" w:firstLine="567"/>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2">
    <w:nsid w:val="5EB9327C"/>
    <w:multiLevelType w:val="multilevel"/>
    <w:tmpl w:val="5EB9327C"/>
    <w:lvl w:ilvl="0" w:tentative="0">
      <w:start w:val="1"/>
      <w:numFmt w:val="japaneseCounting"/>
      <w:lvlText w:val="第%1节"/>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
    <w:nsid w:val="75CF568D"/>
    <w:multiLevelType w:val="multilevel"/>
    <w:tmpl w:val="75CF568D"/>
    <w:lvl w:ilvl="0" w:tentative="0">
      <w:start w:val="1"/>
      <w:numFmt w:val="japaneseCounting"/>
      <w:lvlText w:val="第%1章"/>
      <w:lvlJc w:val="left"/>
      <w:pPr>
        <w:ind w:left="1260" w:hanging="12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4">
    <w:nsid w:val="791D2CFB"/>
    <w:multiLevelType w:val="multilevel"/>
    <w:tmpl w:val="791D2CFB"/>
    <w:lvl w:ilvl="0" w:tentative="0">
      <w:start w:val="1"/>
      <w:numFmt w:val="japaneseCounting"/>
      <w:lvlText w:val="第%1节"/>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5">
    <w:nsid w:val="7FF35FE8"/>
    <w:multiLevelType w:val="multilevel"/>
    <w:tmpl w:val="7FF35FE8"/>
    <w:lvl w:ilvl="0" w:tentative="0">
      <w:start w:val="1"/>
      <w:numFmt w:val="japaneseCounting"/>
      <w:lvlText w:val="第%1节"/>
      <w:lvlJc w:val="left"/>
      <w:pPr>
        <w:ind w:left="440" w:hanging="440"/>
      </w:pPr>
      <w:rPr>
        <w:rFonts w:hint="default"/>
      </w:rPr>
    </w:lvl>
    <w:lvl w:ilvl="1" w:tentative="0">
      <w:start w:val="1"/>
      <w:numFmt w:val="lowerLetter"/>
      <w:lvlText w:val="%2)"/>
      <w:lvlJc w:val="left"/>
      <w:pPr>
        <w:ind w:left="880" w:hanging="440"/>
      </w:pPr>
      <w:rPr>
        <w:rFonts w:hint="eastAsia"/>
      </w:rPr>
    </w:lvl>
    <w:lvl w:ilvl="2" w:tentative="0">
      <w:start w:val="1"/>
      <w:numFmt w:val="decimal"/>
      <w:lvlText w:val="%3."/>
      <w:lvlJc w:val="left"/>
      <w:pPr>
        <w:ind w:left="0" w:firstLine="567"/>
      </w:pPr>
      <w:rPr>
        <w:rFonts w:hint="eastAsia"/>
      </w:rPr>
    </w:lvl>
    <w:lvl w:ilvl="3" w:tentative="0">
      <w:start w:val="1"/>
      <w:numFmt w:val="decimal"/>
      <w:lvlText w:val="%4."/>
      <w:lvlJc w:val="left"/>
      <w:pPr>
        <w:ind w:left="1760" w:hanging="440"/>
      </w:pPr>
    </w:lvl>
    <w:lvl w:ilvl="4" w:tentative="0">
      <w:start w:val="1"/>
      <w:numFmt w:val="lowerLetter"/>
      <w:lvlText w:val="%5)"/>
      <w:lvlJc w:val="left"/>
      <w:pPr>
        <w:ind w:left="2200" w:hanging="440"/>
      </w:pPr>
      <w:rPr>
        <w:rFonts w:hint="eastAsia"/>
      </w:rPr>
    </w:lvl>
    <w:lvl w:ilvl="5" w:tentative="0">
      <w:start w:val="1"/>
      <w:numFmt w:val="lowerRoman"/>
      <w:lvlText w:val="%6."/>
      <w:lvlJc w:val="right"/>
      <w:pPr>
        <w:ind w:left="2640" w:hanging="440"/>
      </w:pPr>
      <w:rPr>
        <w:rFonts w:hint="eastAsia"/>
      </w:rPr>
    </w:lvl>
    <w:lvl w:ilvl="6" w:tentative="0">
      <w:start w:val="1"/>
      <w:numFmt w:val="decimal"/>
      <w:lvlText w:val="%7."/>
      <w:lvlJc w:val="left"/>
      <w:pPr>
        <w:ind w:left="3080" w:hanging="440"/>
      </w:pPr>
      <w:rPr>
        <w:rFonts w:hint="eastAsia"/>
      </w:rPr>
    </w:lvl>
    <w:lvl w:ilvl="7" w:tentative="0">
      <w:start w:val="1"/>
      <w:numFmt w:val="lowerLetter"/>
      <w:lvlText w:val="%8)"/>
      <w:lvlJc w:val="left"/>
      <w:pPr>
        <w:ind w:left="3520" w:hanging="440"/>
      </w:pPr>
      <w:rPr>
        <w:rFonts w:hint="eastAsia"/>
      </w:rPr>
    </w:lvl>
    <w:lvl w:ilvl="8" w:tentative="0">
      <w:start w:val="1"/>
      <w:numFmt w:val="lowerRoman"/>
      <w:lvlText w:val="%9."/>
      <w:lvlJc w:val="right"/>
      <w:pPr>
        <w:ind w:left="3960" w:hanging="440"/>
      </w:pPr>
      <w:rPr>
        <w:rFonts w:hint="eastAsia"/>
      </w:rPr>
    </w:lvl>
  </w:abstractNum>
  <w:num w:numId="1">
    <w:abstractNumId w:val="13"/>
  </w:num>
  <w:num w:numId="2">
    <w:abstractNumId w:val="9"/>
  </w:num>
  <w:num w:numId="3">
    <w:abstractNumId w:val="8"/>
  </w:num>
  <w:num w:numId="4">
    <w:abstractNumId w:val="0"/>
  </w:num>
  <w:num w:numId="5">
    <w:abstractNumId w:val="12"/>
  </w:num>
  <w:num w:numId="6">
    <w:abstractNumId w:val="2"/>
  </w:num>
  <w:num w:numId="7">
    <w:abstractNumId w:val="5"/>
  </w:num>
  <w:num w:numId="8">
    <w:abstractNumId w:val="10"/>
  </w:num>
  <w:num w:numId="9">
    <w:abstractNumId w:val="3"/>
  </w:num>
  <w:num w:numId="10">
    <w:abstractNumId w:val="6"/>
  </w:num>
  <w:num w:numId="11">
    <w:abstractNumId w:val="4"/>
  </w:num>
  <w:num w:numId="12">
    <w:abstractNumId w:val="7"/>
  </w:num>
  <w:num w:numId="13">
    <w:abstractNumId w:val="14"/>
  </w:num>
  <w:num w:numId="14">
    <w:abstractNumId w:val="1"/>
  </w:num>
  <w:num w:numId="15">
    <w:abstractNumId w:val="1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F68"/>
    <w:rsid w:val="0000323F"/>
    <w:rsid w:val="0000413A"/>
    <w:rsid w:val="00006435"/>
    <w:rsid w:val="000069EB"/>
    <w:rsid w:val="00007227"/>
    <w:rsid w:val="0001260E"/>
    <w:rsid w:val="00014190"/>
    <w:rsid w:val="00015D48"/>
    <w:rsid w:val="00016DEE"/>
    <w:rsid w:val="00024025"/>
    <w:rsid w:val="0002701A"/>
    <w:rsid w:val="000302C3"/>
    <w:rsid w:val="000331CB"/>
    <w:rsid w:val="000361C5"/>
    <w:rsid w:val="000375C2"/>
    <w:rsid w:val="00041DE5"/>
    <w:rsid w:val="000436E0"/>
    <w:rsid w:val="00044869"/>
    <w:rsid w:val="000452B0"/>
    <w:rsid w:val="00046A83"/>
    <w:rsid w:val="0005215A"/>
    <w:rsid w:val="00053951"/>
    <w:rsid w:val="0005665E"/>
    <w:rsid w:val="0005691E"/>
    <w:rsid w:val="00057DD8"/>
    <w:rsid w:val="0006097E"/>
    <w:rsid w:val="00060B9F"/>
    <w:rsid w:val="00060D3D"/>
    <w:rsid w:val="00060DD5"/>
    <w:rsid w:val="00061168"/>
    <w:rsid w:val="0006603E"/>
    <w:rsid w:val="000677B4"/>
    <w:rsid w:val="0007441D"/>
    <w:rsid w:val="000749EB"/>
    <w:rsid w:val="00076FFB"/>
    <w:rsid w:val="0008538D"/>
    <w:rsid w:val="000910D1"/>
    <w:rsid w:val="000918DF"/>
    <w:rsid w:val="000921BA"/>
    <w:rsid w:val="000930AC"/>
    <w:rsid w:val="000953BD"/>
    <w:rsid w:val="00095968"/>
    <w:rsid w:val="00096880"/>
    <w:rsid w:val="000B1BFD"/>
    <w:rsid w:val="000B28A0"/>
    <w:rsid w:val="000B2C41"/>
    <w:rsid w:val="000B48EC"/>
    <w:rsid w:val="000B7B77"/>
    <w:rsid w:val="000C0C46"/>
    <w:rsid w:val="000C2FA4"/>
    <w:rsid w:val="000C3483"/>
    <w:rsid w:val="000C74BD"/>
    <w:rsid w:val="000C79FF"/>
    <w:rsid w:val="000E0562"/>
    <w:rsid w:val="000E1D0D"/>
    <w:rsid w:val="000E31B2"/>
    <w:rsid w:val="000E3C3B"/>
    <w:rsid w:val="000E5990"/>
    <w:rsid w:val="000E66E5"/>
    <w:rsid w:val="000E764F"/>
    <w:rsid w:val="000E7A89"/>
    <w:rsid w:val="000F5178"/>
    <w:rsid w:val="00100B6D"/>
    <w:rsid w:val="00101A3C"/>
    <w:rsid w:val="00103179"/>
    <w:rsid w:val="001127D9"/>
    <w:rsid w:val="00113E39"/>
    <w:rsid w:val="0011504A"/>
    <w:rsid w:val="0011605B"/>
    <w:rsid w:val="0012137D"/>
    <w:rsid w:val="001216CD"/>
    <w:rsid w:val="00121ECD"/>
    <w:rsid w:val="00122D13"/>
    <w:rsid w:val="00123410"/>
    <w:rsid w:val="001237BD"/>
    <w:rsid w:val="00124A69"/>
    <w:rsid w:val="00127685"/>
    <w:rsid w:val="0013138A"/>
    <w:rsid w:val="0013157B"/>
    <w:rsid w:val="001326A5"/>
    <w:rsid w:val="00133540"/>
    <w:rsid w:val="0013714E"/>
    <w:rsid w:val="001431A9"/>
    <w:rsid w:val="0014428E"/>
    <w:rsid w:val="0014435A"/>
    <w:rsid w:val="00147807"/>
    <w:rsid w:val="001501C4"/>
    <w:rsid w:val="0015547F"/>
    <w:rsid w:val="00166291"/>
    <w:rsid w:val="00166E4A"/>
    <w:rsid w:val="00167EB3"/>
    <w:rsid w:val="00172F0B"/>
    <w:rsid w:val="001736D9"/>
    <w:rsid w:val="00175BD8"/>
    <w:rsid w:val="00180023"/>
    <w:rsid w:val="00180373"/>
    <w:rsid w:val="00181FF9"/>
    <w:rsid w:val="00186C97"/>
    <w:rsid w:val="0018733D"/>
    <w:rsid w:val="00192702"/>
    <w:rsid w:val="00195059"/>
    <w:rsid w:val="001961D3"/>
    <w:rsid w:val="001969BB"/>
    <w:rsid w:val="001A0AC0"/>
    <w:rsid w:val="001A0C71"/>
    <w:rsid w:val="001A1883"/>
    <w:rsid w:val="001A1C0F"/>
    <w:rsid w:val="001A1CFF"/>
    <w:rsid w:val="001A2118"/>
    <w:rsid w:val="001B32FB"/>
    <w:rsid w:val="001B566F"/>
    <w:rsid w:val="001B7D5F"/>
    <w:rsid w:val="001C2441"/>
    <w:rsid w:val="001C2C6C"/>
    <w:rsid w:val="001C5651"/>
    <w:rsid w:val="001D4C73"/>
    <w:rsid w:val="001E0C2D"/>
    <w:rsid w:val="001E1121"/>
    <w:rsid w:val="001E1301"/>
    <w:rsid w:val="001E1716"/>
    <w:rsid w:val="001E204E"/>
    <w:rsid w:val="001E2628"/>
    <w:rsid w:val="001E7FF1"/>
    <w:rsid w:val="001F48F3"/>
    <w:rsid w:val="001F786D"/>
    <w:rsid w:val="00200368"/>
    <w:rsid w:val="002047B6"/>
    <w:rsid w:val="002079D4"/>
    <w:rsid w:val="00207BB7"/>
    <w:rsid w:val="00210591"/>
    <w:rsid w:val="00212B79"/>
    <w:rsid w:val="00226038"/>
    <w:rsid w:val="002268D6"/>
    <w:rsid w:val="00227802"/>
    <w:rsid w:val="002321C5"/>
    <w:rsid w:val="002332BC"/>
    <w:rsid w:val="00237BA2"/>
    <w:rsid w:val="00240F2A"/>
    <w:rsid w:val="00241744"/>
    <w:rsid w:val="00241C31"/>
    <w:rsid w:val="00241EAC"/>
    <w:rsid w:val="002432D6"/>
    <w:rsid w:val="002518B7"/>
    <w:rsid w:val="0025380B"/>
    <w:rsid w:val="00255B16"/>
    <w:rsid w:val="00256483"/>
    <w:rsid w:val="002605BF"/>
    <w:rsid w:val="00261C84"/>
    <w:rsid w:val="00265476"/>
    <w:rsid w:val="002658CA"/>
    <w:rsid w:val="002761D3"/>
    <w:rsid w:val="002777A9"/>
    <w:rsid w:val="002809DC"/>
    <w:rsid w:val="0028515E"/>
    <w:rsid w:val="00286EB7"/>
    <w:rsid w:val="00293F5C"/>
    <w:rsid w:val="00293F5E"/>
    <w:rsid w:val="00294994"/>
    <w:rsid w:val="00294FDE"/>
    <w:rsid w:val="00295E89"/>
    <w:rsid w:val="00297921"/>
    <w:rsid w:val="002A1464"/>
    <w:rsid w:val="002A1D99"/>
    <w:rsid w:val="002A4367"/>
    <w:rsid w:val="002A4B74"/>
    <w:rsid w:val="002A762F"/>
    <w:rsid w:val="002B0137"/>
    <w:rsid w:val="002B1C83"/>
    <w:rsid w:val="002B2CEB"/>
    <w:rsid w:val="002B51FB"/>
    <w:rsid w:val="002B5ED7"/>
    <w:rsid w:val="002C3AD3"/>
    <w:rsid w:val="002C462C"/>
    <w:rsid w:val="002D5E0A"/>
    <w:rsid w:val="002E0756"/>
    <w:rsid w:val="002E16CE"/>
    <w:rsid w:val="002E2FE3"/>
    <w:rsid w:val="002E30D2"/>
    <w:rsid w:val="002E3C93"/>
    <w:rsid w:val="002E55E4"/>
    <w:rsid w:val="002E67CA"/>
    <w:rsid w:val="002E74A8"/>
    <w:rsid w:val="002F0045"/>
    <w:rsid w:val="003011CF"/>
    <w:rsid w:val="0030208D"/>
    <w:rsid w:val="0030564A"/>
    <w:rsid w:val="00307EE0"/>
    <w:rsid w:val="003106B2"/>
    <w:rsid w:val="00310A55"/>
    <w:rsid w:val="00310B51"/>
    <w:rsid w:val="00314204"/>
    <w:rsid w:val="00316128"/>
    <w:rsid w:val="003167D8"/>
    <w:rsid w:val="0031722B"/>
    <w:rsid w:val="00324701"/>
    <w:rsid w:val="003254FA"/>
    <w:rsid w:val="00327ACC"/>
    <w:rsid w:val="0034305F"/>
    <w:rsid w:val="003469CC"/>
    <w:rsid w:val="00350B4A"/>
    <w:rsid w:val="00357C60"/>
    <w:rsid w:val="00360D14"/>
    <w:rsid w:val="003617BE"/>
    <w:rsid w:val="00362971"/>
    <w:rsid w:val="00372399"/>
    <w:rsid w:val="003727F2"/>
    <w:rsid w:val="0037503B"/>
    <w:rsid w:val="00386A5F"/>
    <w:rsid w:val="0038703E"/>
    <w:rsid w:val="0038716F"/>
    <w:rsid w:val="003871B9"/>
    <w:rsid w:val="0039274B"/>
    <w:rsid w:val="00394970"/>
    <w:rsid w:val="003A0E67"/>
    <w:rsid w:val="003A14B6"/>
    <w:rsid w:val="003A5126"/>
    <w:rsid w:val="003B2E2A"/>
    <w:rsid w:val="003B4B1A"/>
    <w:rsid w:val="003B4CBF"/>
    <w:rsid w:val="003B5053"/>
    <w:rsid w:val="003C5E9F"/>
    <w:rsid w:val="003C6E55"/>
    <w:rsid w:val="003D010E"/>
    <w:rsid w:val="003D0B38"/>
    <w:rsid w:val="003D1875"/>
    <w:rsid w:val="003D3309"/>
    <w:rsid w:val="003D572F"/>
    <w:rsid w:val="003D57F6"/>
    <w:rsid w:val="003D7852"/>
    <w:rsid w:val="003D7DCC"/>
    <w:rsid w:val="003E1AC0"/>
    <w:rsid w:val="003E3806"/>
    <w:rsid w:val="003E621E"/>
    <w:rsid w:val="003E7974"/>
    <w:rsid w:val="003F1C57"/>
    <w:rsid w:val="003F3130"/>
    <w:rsid w:val="003F3BCF"/>
    <w:rsid w:val="003F40D0"/>
    <w:rsid w:val="003F5A8B"/>
    <w:rsid w:val="003F62A2"/>
    <w:rsid w:val="003F6420"/>
    <w:rsid w:val="00404837"/>
    <w:rsid w:val="00405A2E"/>
    <w:rsid w:val="00410870"/>
    <w:rsid w:val="00411C36"/>
    <w:rsid w:val="0041481F"/>
    <w:rsid w:val="004150D0"/>
    <w:rsid w:val="004155B3"/>
    <w:rsid w:val="00416736"/>
    <w:rsid w:val="004203ED"/>
    <w:rsid w:val="00422317"/>
    <w:rsid w:val="0042503E"/>
    <w:rsid w:val="004267E1"/>
    <w:rsid w:val="004301E4"/>
    <w:rsid w:val="00431FFE"/>
    <w:rsid w:val="004326A9"/>
    <w:rsid w:val="00432787"/>
    <w:rsid w:val="00434F7B"/>
    <w:rsid w:val="0043620F"/>
    <w:rsid w:val="00440952"/>
    <w:rsid w:val="00446108"/>
    <w:rsid w:val="004467B6"/>
    <w:rsid w:val="0044744D"/>
    <w:rsid w:val="00447E29"/>
    <w:rsid w:val="00450B13"/>
    <w:rsid w:val="00454423"/>
    <w:rsid w:val="004552AB"/>
    <w:rsid w:val="00457FA4"/>
    <w:rsid w:val="004600E4"/>
    <w:rsid w:val="00461350"/>
    <w:rsid w:val="00462BCD"/>
    <w:rsid w:val="004630CD"/>
    <w:rsid w:val="00466B5E"/>
    <w:rsid w:val="00470296"/>
    <w:rsid w:val="00473D9C"/>
    <w:rsid w:val="00474215"/>
    <w:rsid w:val="00474B96"/>
    <w:rsid w:val="00476680"/>
    <w:rsid w:val="00477E4D"/>
    <w:rsid w:val="00480513"/>
    <w:rsid w:val="004870F0"/>
    <w:rsid w:val="004925F2"/>
    <w:rsid w:val="004929A8"/>
    <w:rsid w:val="004934D8"/>
    <w:rsid w:val="00497347"/>
    <w:rsid w:val="0049749B"/>
    <w:rsid w:val="004A0F52"/>
    <w:rsid w:val="004A2FBB"/>
    <w:rsid w:val="004A3964"/>
    <w:rsid w:val="004A4656"/>
    <w:rsid w:val="004A65D4"/>
    <w:rsid w:val="004B31DC"/>
    <w:rsid w:val="004C18B6"/>
    <w:rsid w:val="004C2AC1"/>
    <w:rsid w:val="004C528D"/>
    <w:rsid w:val="004C5992"/>
    <w:rsid w:val="004C7321"/>
    <w:rsid w:val="004D05F1"/>
    <w:rsid w:val="004D6446"/>
    <w:rsid w:val="004D6B75"/>
    <w:rsid w:val="004D7E04"/>
    <w:rsid w:val="004E40B5"/>
    <w:rsid w:val="004E4546"/>
    <w:rsid w:val="004E56A8"/>
    <w:rsid w:val="004F011D"/>
    <w:rsid w:val="004F52F3"/>
    <w:rsid w:val="004F7ECA"/>
    <w:rsid w:val="00503642"/>
    <w:rsid w:val="005042FE"/>
    <w:rsid w:val="005065CD"/>
    <w:rsid w:val="00506A09"/>
    <w:rsid w:val="005109B1"/>
    <w:rsid w:val="00511811"/>
    <w:rsid w:val="00513E30"/>
    <w:rsid w:val="00514698"/>
    <w:rsid w:val="005167BE"/>
    <w:rsid w:val="00516D2F"/>
    <w:rsid w:val="005203A5"/>
    <w:rsid w:val="00520BC9"/>
    <w:rsid w:val="00521AFD"/>
    <w:rsid w:val="00523770"/>
    <w:rsid w:val="00523F05"/>
    <w:rsid w:val="00524B3A"/>
    <w:rsid w:val="00526BAB"/>
    <w:rsid w:val="00530DAD"/>
    <w:rsid w:val="00530E04"/>
    <w:rsid w:val="00531108"/>
    <w:rsid w:val="0053112F"/>
    <w:rsid w:val="00532C01"/>
    <w:rsid w:val="00533CFD"/>
    <w:rsid w:val="00537D1B"/>
    <w:rsid w:val="005408CD"/>
    <w:rsid w:val="00540F8D"/>
    <w:rsid w:val="00541670"/>
    <w:rsid w:val="00542194"/>
    <w:rsid w:val="00543A71"/>
    <w:rsid w:val="00544F69"/>
    <w:rsid w:val="00553970"/>
    <w:rsid w:val="00555D3B"/>
    <w:rsid w:val="005570B3"/>
    <w:rsid w:val="005653D1"/>
    <w:rsid w:val="00565C91"/>
    <w:rsid w:val="00566944"/>
    <w:rsid w:val="00566B36"/>
    <w:rsid w:val="005679E2"/>
    <w:rsid w:val="00580397"/>
    <w:rsid w:val="005829D6"/>
    <w:rsid w:val="00583D61"/>
    <w:rsid w:val="00585352"/>
    <w:rsid w:val="005857E5"/>
    <w:rsid w:val="00586105"/>
    <w:rsid w:val="0058683B"/>
    <w:rsid w:val="00587164"/>
    <w:rsid w:val="0058752A"/>
    <w:rsid w:val="0058782F"/>
    <w:rsid w:val="00587B6B"/>
    <w:rsid w:val="00590014"/>
    <w:rsid w:val="0059133D"/>
    <w:rsid w:val="0059141B"/>
    <w:rsid w:val="0059236A"/>
    <w:rsid w:val="0059247C"/>
    <w:rsid w:val="005952EE"/>
    <w:rsid w:val="005A06ED"/>
    <w:rsid w:val="005A1A0E"/>
    <w:rsid w:val="005A23AE"/>
    <w:rsid w:val="005B0CB3"/>
    <w:rsid w:val="005B3648"/>
    <w:rsid w:val="005B4104"/>
    <w:rsid w:val="005B6CD2"/>
    <w:rsid w:val="005B735A"/>
    <w:rsid w:val="005C2A65"/>
    <w:rsid w:val="005C31EB"/>
    <w:rsid w:val="005C5F83"/>
    <w:rsid w:val="005C6EFE"/>
    <w:rsid w:val="005D017A"/>
    <w:rsid w:val="005D1CDA"/>
    <w:rsid w:val="005D59E0"/>
    <w:rsid w:val="005D7D28"/>
    <w:rsid w:val="005E0CBA"/>
    <w:rsid w:val="005E1657"/>
    <w:rsid w:val="005E3163"/>
    <w:rsid w:val="005E340B"/>
    <w:rsid w:val="005E5657"/>
    <w:rsid w:val="005F0131"/>
    <w:rsid w:val="005F3BE4"/>
    <w:rsid w:val="00602EF7"/>
    <w:rsid w:val="006042BF"/>
    <w:rsid w:val="0060533D"/>
    <w:rsid w:val="00606CB9"/>
    <w:rsid w:val="00607553"/>
    <w:rsid w:val="00620DDD"/>
    <w:rsid w:val="00624CA0"/>
    <w:rsid w:val="0062716F"/>
    <w:rsid w:val="006272E6"/>
    <w:rsid w:val="006305D9"/>
    <w:rsid w:val="006325F5"/>
    <w:rsid w:val="00634625"/>
    <w:rsid w:val="006353DA"/>
    <w:rsid w:val="00636A32"/>
    <w:rsid w:val="0063710E"/>
    <w:rsid w:val="006425FE"/>
    <w:rsid w:val="006426B2"/>
    <w:rsid w:val="00642DCF"/>
    <w:rsid w:val="00646950"/>
    <w:rsid w:val="00646F71"/>
    <w:rsid w:val="006562F7"/>
    <w:rsid w:val="006569D5"/>
    <w:rsid w:val="00660F7C"/>
    <w:rsid w:val="00664CA0"/>
    <w:rsid w:val="00672F92"/>
    <w:rsid w:val="006773A9"/>
    <w:rsid w:val="006807D4"/>
    <w:rsid w:val="00682319"/>
    <w:rsid w:val="00683BCA"/>
    <w:rsid w:val="00685FB3"/>
    <w:rsid w:val="0068624C"/>
    <w:rsid w:val="00686F86"/>
    <w:rsid w:val="00690D45"/>
    <w:rsid w:val="006916F9"/>
    <w:rsid w:val="00692DF3"/>
    <w:rsid w:val="00693387"/>
    <w:rsid w:val="006936CF"/>
    <w:rsid w:val="00694178"/>
    <w:rsid w:val="00695230"/>
    <w:rsid w:val="00695C19"/>
    <w:rsid w:val="006A334F"/>
    <w:rsid w:val="006A3666"/>
    <w:rsid w:val="006A4E81"/>
    <w:rsid w:val="006A5D01"/>
    <w:rsid w:val="006B2371"/>
    <w:rsid w:val="006B300B"/>
    <w:rsid w:val="006B5040"/>
    <w:rsid w:val="006B685F"/>
    <w:rsid w:val="006B722B"/>
    <w:rsid w:val="006C0998"/>
    <w:rsid w:val="006D0C11"/>
    <w:rsid w:val="006D43B9"/>
    <w:rsid w:val="006D538C"/>
    <w:rsid w:val="006E1989"/>
    <w:rsid w:val="006E4F32"/>
    <w:rsid w:val="006E4F88"/>
    <w:rsid w:val="006E5D16"/>
    <w:rsid w:val="006F03D1"/>
    <w:rsid w:val="006F0B30"/>
    <w:rsid w:val="006F2C3E"/>
    <w:rsid w:val="006F6BEE"/>
    <w:rsid w:val="006F70D4"/>
    <w:rsid w:val="0070040B"/>
    <w:rsid w:val="00701DC8"/>
    <w:rsid w:val="00704BED"/>
    <w:rsid w:val="007056EA"/>
    <w:rsid w:val="00706FE7"/>
    <w:rsid w:val="00712441"/>
    <w:rsid w:val="0071579B"/>
    <w:rsid w:val="0072089A"/>
    <w:rsid w:val="007221E3"/>
    <w:rsid w:val="00722E2E"/>
    <w:rsid w:val="00723018"/>
    <w:rsid w:val="00725CB6"/>
    <w:rsid w:val="0072656A"/>
    <w:rsid w:val="00726A1D"/>
    <w:rsid w:val="0072707B"/>
    <w:rsid w:val="007277ED"/>
    <w:rsid w:val="00727FDE"/>
    <w:rsid w:val="00732F64"/>
    <w:rsid w:val="0073403B"/>
    <w:rsid w:val="0073552B"/>
    <w:rsid w:val="0073632D"/>
    <w:rsid w:val="007373D5"/>
    <w:rsid w:val="00740D72"/>
    <w:rsid w:val="007413C1"/>
    <w:rsid w:val="00742DAE"/>
    <w:rsid w:val="0074460B"/>
    <w:rsid w:val="007465D6"/>
    <w:rsid w:val="0074765E"/>
    <w:rsid w:val="007509CF"/>
    <w:rsid w:val="0075583C"/>
    <w:rsid w:val="00755D49"/>
    <w:rsid w:val="007572B5"/>
    <w:rsid w:val="00760591"/>
    <w:rsid w:val="0076359B"/>
    <w:rsid w:val="0076429C"/>
    <w:rsid w:val="007817E6"/>
    <w:rsid w:val="00784D0C"/>
    <w:rsid w:val="00786693"/>
    <w:rsid w:val="007866B1"/>
    <w:rsid w:val="007A3E19"/>
    <w:rsid w:val="007A709E"/>
    <w:rsid w:val="007B2B49"/>
    <w:rsid w:val="007B5013"/>
    <w:rsid w:val="007B65A2"/>
    <w:rsid w:val="007B682F"/>
    <w:rsid w:val="007B773C"/>
    <w:rsid w:val="007C0337"/>
    <w:rsid w:val="007C0B45"/>
    <w:rsid w:val="007C1F57"/>
    <w:rsid w:val="007D1555"/>
    <w:rsid w:val="007D3E87"/>
    <w:rsid w:val="007E20FA"/>
    <w:rsid w:val="007E7BD7"/>
    <w:rsid w:val="007F16FE"/>
    <w:rsid w:val="007F542D"/>
    <w:rsid w:val="007F559F"/>
    <w:rsid w:val="007F78C6"/>
    <w:rsid w:val="0080087C"/>
    <w:rsid w:val="008073C8"/>
    <w:rsid w:val="00811A94"/>
    <w:rsid w:val="00812C8E"/>
    <w:rsid w:val="00812FE7"/>
    <w:rsid w:val="0081392A"/>
    <w:rsid w:val="00815DEC"/>
    <w:rsid w:val="00817871"/>
    <w:rsid w:val="0082226E"/>
    <w:rsid w:val="008226CC"/>
    <w:rsid w:val="00824272"/>
    <w:rsid w:val="00824E22"/>
    <w:rsid w:val="008305D2"/>
    <w:rsid w:val="00832D48"/>
    <w:rsid w:val="00834F60"/>
    <w:rsid w:val="00835248"/>
    <w:rsid w:val="00845DF6"/>
    <w:rsid w:val="0084705B"/>
    <w:rsid w:val="00851214"/>
    <w:rsid w:val="00854C9B"/>
    <w:rsid w:val="008553D2"/>
    <w:rsid w:val="0085793D"/>
    <w:rsid w:val="00862E95"/>
    <w:rsid w:val="008733E9"/>
    <w:rsid w:val="00873780"/>
    <w:rsid w:val="00874669"/>
    <w:rsid w:val="008750E7"/>
    <w:rsid w:val="00880182"/>
    <w:rsid w:val="008813B4"/>
    <w:rsid w:val="00885B71"/>
    <w:rsid w:val="008860DD"/>
    <w:rsid w:val="0089123F"/>
    <w:rsid w:val="0089412C"/>
    <w:rsid w:val="00895F9A"/>
    <w:rsid w:val="00897ABE"/>
    <w:rsid w:val="008A1539"/>
    <w:rsid w:val="008A22DC"/>
    <w:rsid w:val="008A4114"/>
    <w:rsid w:val="008A474C"/>
    <w:rsid w:val="008A5371"/>
    <w:rsid w:val="008B1269"/>
    <w:rsid w:val="008C0F9C"/>
    <w:rsid w:val="008C39DF"/>
    <w:rsid w:val="008C6F08"/>
    <w:rsid w:val="008D45E9"/>
    <w:rsid w:val="008D511E"/>
    <w:rsid w:val="008D5781"/>
    <w:rsid w:val="008E3D53"/>
    <w:rsid w:val="008F12F5"/>
    <w:rsid w:val="008F20F1"/>
    <w:rsid w:val="008F2395"/>
    <w:rsid w:val="008F355C"/>
    <w:rsid w:val="008F3C3C"/>
    <w:rsid w:val="008F6391"/>
    <w:rsid w:val="008F7289"/>
    <w:rsid w:val="008F7E68"/>
    <w:rsid w:val="00900E44"/>
    <w:rsid w:val="00902402"/>
    <w:rsid w:val="00912EA4"/>
    <w:rsid w:val="00913369"/>
    <w:rsid w:val="009139DA"/>
    <w:rsid w:val="00916DE9"/>
    <w:rsid w:val="00917ACD"/>
    <w:rsid w:val="00917DBD"/>
    <w:rsid w:val="00920673"/>
    <w:rsid w:val="00920F64"/>
    <w:rsid w:val="00921811"/>
    <w:rsid w:val="0093056E"/>
    <w:rsid w:val="0093212C"/>
    <w:rsid w:val="00936DD4"/>
    <w:rsid w:val="00942D67"/>
    <w:rsid w:val="009458A1"/>
    <w:rsid w:val="00945B7E"/>
    <w:rsid w:val="0095051B"/>
    <w:rsid w:val="00954FE3"/>
    <w:rsid w:val="00960130"/>
    <w:rsid w:val="00960239"/>
    <w:rsid w:val="00960C86"/>
    <w:rsid w:val="0096366B"/>
    <w:rsid w:val="0096417D"/>
    <w:rsid w:val="00971779"/>
    <w:rsid w:val="00974DDF"/>
    <w:rsid w:val="00976F05"/>
    <w:rsid w:val="00983CC4"/>
    <w:rsid w:val="00984139"/>
    <w:rsid w:val="009841A9"/>
    <w:rsid w:val="0098512E"/>
    <w:rsid w:val="00990D6B"/>
    <w:rsid w:val="00991493"/>
    <w:rsid w:val="0099247A"/>
    <w:rsid w:val="009951AA"/>
    <w:rsid w:val="00996E56"/>
    <w:rsid w:val="009A0806"/>
    <w:rsid w:val="009A3A1E"/>
    <w:rsid w:val="009A4869"/>
    <w:rsid w:val="009A5EB0"/>
    <w:rsid w:val="009A7369"/>
    <w:rsid w:val="009B2436"/>
    <w:rsid w:val="009B6643"/>
    <w:rsid w:val="009B7F8F"/>
    <w:rsid w:val="009C13E1"/>
    <w:rsid w:val="009C17B8"/>
    <w:rsid w:val="009C2EF9"/>
    <w:rsid w:val="009C5E94"/>
    <w:rsid w:val="009C6238"/>
    <w:rsid w:val="009C62D6"/>
    <w:rsid w:val="009C778D"/>
    <w:rsid w:val="009D3EDD"/>
    <w:rsid w:val="009D7A4E"/>
    <w:rsid w:val="009E051B"/>
    <w:rsid w:val="009E1DF9"/>
    <w:rsid w:val="009E27AA"/>
    <w:rsid w:val="009E456B"/>
    <w:rsid w:val="009E5B76"/>
    <w:rsid w:val="009E5BA6"/>
    <w:rsid w:val="009E5D8D"/>
    <w:rsid w:val="009E7580"/>
    <w:rsid w:val="009E7DA0"/>
    <w:rsid w:val="009F661F"/>
    <w:rsid w:val="009F7DFE"/>
    <w:rsid w:val="00A00002"/>
    <w:rsid w:val="00A0041F"/>
    <w:rsid w:val="00A02662"/>
    <w:rsid w:val="00A03D56"/>
    <w:rsid w:val="00A06BB8"/>
    <w:rsid w:val="00A07896"/>
    <w:rsid w:val="00A104B6"/>
    <w:rsid w:val="00A14732"/>
    <w:rsid w:val="00A15EC1"/>
    <w:rsid w:val="00A1676F"/>
    <w:rsid w:val="00A1726E"/>
    <w:rsid w:val="00A206BA"/>
    <w:rsid w:val="00A21EA6"/>
    <w:rsid w:val="00A21F43"/>
    <w:rsid w:val="00A22387"/>
    <w:rsid w:val="00A2370E"/>
    <w:rsid w:val="00A245C9"/>
    <w:rsid w:val="00A26B16"/>
    <w:rsid w:val="00A331A1"/>
    <w:rsid w:val="00A34E41"/>
    <w:rsid w:val="00A352CF"/>
    <w:rsid w:val="00A3661A"/>
    <w:rsid w:val="00A41256"/>
    <w:rsid w:val="00A42604"/>
    <w:rsid w:val="00A42B37"/>
    <w:rsid w:val="00A43037"/>
    <w:rsid w:val="00A43D9D"/>
    <w:rsid w:val="00A443B3"/>
    <w:rsid w:val="00A46116"/>
    <w:rsid w:val="00A50B4C"/>
    <w:rsid w:val="00A50DB9"/>
    <w:rsid w:val="00A513DA"/>
    <w:rsid w:val="00A524E9"/>
    <w:rsid w:val="00A530AA"/>
    <w:rsid w:val="00A556A1"/>
    <w:rsid w:val="00A56BBC"/>
    <w:rsid w:val="00A65854"/>
    <w:rsid w:val="00A71866"/>
    <w:rsid w:val="00A74607"/>
    <w:rsid w:val="00A76FC6"/>
    <w:rsid w:val="00A80142"/>
    <w:rsid w:val="00A833EA"/>
    <w:rsid w:val="00A843B0"/>
    <w:rsid w:val="00A8491D"/>
    <w:rsid w:val="00A940D6"/>
    <w:rsid w:val="00A94BFB"/>
    <w:rsid w:val="00A953D1"/>
    <w:rsid w:val="00AA23D0"/>
    <w:rsid w:val="00AA2486"/>
    <w:rsid w:val="00AA52C9"/>
    <w:rsid w:val="00AA67FE"/>
    <w:rsid w:val="00AB197F"/>
    <w:rsid w:val="00AB3C86"/>
    <w:rsid w:val="00AC06EC"/>
    <w:rsid w:val="00AC171C"/>
    <w:rsid w:val="00AC1A38"/>
    <w:rsid w:val="00AD0B6D"/>
    <w:rsid w:val="00AD2324"/>
    <w:rsid w:val="00AD3255"/>
    <w:rsid w:val="00AD48B0"/>
    <w:rsid w:val="00AD5DC5"/>
    <w:rsid w:val="00AD6266"/>
    <w:rsid w:val="00AE0038"/>
    <w:rsid w:val="00AE0E17"/>
    <w:rsid w:val="00AE172D"/>
    <w:rsid w:val="00AE1C9A"/>
    <w:rsid w:val="00AE7486"/>
    <w:rsid w:val="00AF2113"/>
    <w:rsid w:val="00AF52D2"/>
    <w:rsid w:val="00AF5FD1"/>
    <w:rsid w:val="00B029A3"/>
    <w:rsid w:val="00B04397"/>
    <w:rsid w:val="00B0524E"/>
    <w:rsid w:val="00B052ED"/>
    <w:rsid w:val="00B057CD"/>
    <w:rsid w:val="00B07268"/>
    <w:rsid w:val="00B103C5"/>
    <w:rsid w:val="00B11B3E"/>
    <w:rsid w:val="00B13E7F"/>
    <w:rsid w:val="00B148EC"/>
    <w:rsid w:val="00B225AF"/>
    <w:rsid w:val="00B23D9C"/>
    <w:rsid w:val="00B26341"/>
    <w:rsid w:val="00B2642A"/>
    <w:rsid w:val="00B32413"/>
    <w:rsid w:val="00B33204"/>
    <w:rsid w:val="00B3346E"/>
    <w:rsid w:val="00B35CA4"/>
    <w:rsid w:val="00B36E08"/>
    <w:rsid w:val="00B44741"/>
    <w:rsid w:val="00B45587"/>
    <w:rsid w:val="00B45F8B"/>
    <w:rsid w:val="00B46C23"/>
    <w:rsid w:val="00B5149E"/>
    <w:rsid w:val="00B52D6C"/>
    <w:rsid w:val="00B57881"/>
    <w:rsid w:val="00B631A2"/>
    <w:rsid w:val="00B66EC2"/>
    <w:rsid w:val="00B727B4"/>
    <w:rsid w:val="00B74880"/>
    <w:rsid w:val="00B763BC"/>
    <w:rsid w:val="00B810DE"/>
    <w:rsid w:val="00B86526"/>
    <w:rsid w:val="00B90764"/>
    <w:rsid w:val="00B91540"/>
    <w:rsid w:val="00B920B0"/>
    <w:rsid w:val="00B928C3"/>
    <w:rsid w:val="00B960A8"/>
    <w:rsid w:val="00B96546"/>
    <w:rsid w:val="00BA2A28"/>
    <w:rsid w:val="00BA4D12"/>
    <w:rsid w:val="00BA5B16"/>
    <w:rsid w:val="00BB1D88"/>
    <w:rsid w:val="00BB2717"/>
    <w:rsid w:val="00BB2EA2"/>
    <w:rsid w:val="00BB5BBF"/>
    <w:rsid w:val="00BC2801"/>
    <w:rsid w:val="00BC2879"/>
    <w:rsid w:val="00BC2D02"/>
    <w:rsid w:val="00BC4D18"/>
    <w:rsid w:val="00BC5C96"/>
    <w:rsid w:val="00BD0CE0"/>
    <w:rsid w:val="00BD2509"/>
    <w:rsid w:val="00BD2B60"/>
    <w:rsid w:val="00BD3C3E"/>
    <w:rsid w:val="00BD4403"/>
    <w:rsid w:val="00BD5D94"/>
    <w:rsid w:val="00BD7643"/>
    <w:rsid w:val="00BD7E46"/>
    <w:rsid w:val="00BF0020"/>
    <w:rsid w:val="00BF108D"/>
    <w:rsid w:val="00BF1B26"/>
    <w:rsid w:val="00BF2035"/>
    <w:rsid w:val="00BF2D80"/>
    <w:rsid w:val="00BF40BC"/>
    <w:rsid w:val="00BF60E0"/>
    <w:rsid w:val="00BF65CB"/>
    <w:rsid w:val="00BF7EA2"/>
    <w:rsid w:val="00C0045C"/>
    <w:rsid w:val="00C025F9"/>
    <w:rsid w:val="00C0382F"/>
    <w:rsid w:val="00C03FC3"/>
    <w:rsid w:val="00C041B5"/>
    <w:rsid w:val="00C07751"/>
    <w:rsid w:val="00C07936"/>
    <w:rsid w:val="00C11BB2"/>
    <w:rsid w:val="00C13FAB"/>
    <w:rsid w:val="00C14680"/>
    <w:rsid w:val="00C163C8"/>
    <w:rsid w:val="00C2146A"/>
    <w:rsid w:val="00C2279D"/>
    <w:rsid w:val="00C24817"/>
    <w:rsid w:val="00C265E9"/>
    <w:rsid w:val="00C2710A"/>
    <w:rsid w:val="00C27643"/>
    <w:rsid w:val="00C27DD3"/>
    <w:rsid w:val="00C30B8E"/>
    <w:rsid w:val="00C33339"/>
    <w:rsid w:val="00C35814"/>
    <w:rsid w:val="00C407A0"/>
    <w:rsid w:val="00C41FE5"/>
    <w:rsid w:val="00C46726"/>
    <w:rsid w:val="00C51A15"/>
    <w:rsid w:val="00C52EDD"/>
    <w:rsid w:val="00C56DE0"/>
    <w:rsid w:val="00C62B04"/>
    <w:rsid w:val="00C641F1"/>
    <w:rsid w:val="00C70108"/>
    <w:rsid w:val="00C73100"/>
    <w:rsid w:val="00C73A74"/>
    <w:rsid w:val="00C86C9A"/>
    <w:rsid w:val="00C87384"/>
    <w:rsid w:val="00C97806"/>
    <w:rsid w:val="00CA30F7"/>
    <w:rsid w:val="00CA61EE"/>
    <w:rsid w:val="00CA734A"/>
    <w:rsid w:val="00CB1128"/>
    <w:rsid w:val="00CB5684"/>
    <w:rsid w:val="00CB5A55"/>
    <w:rsid w:val="00CC12CE"/>
    <w:rsid w:val="00CC205D"/>
    <w:rsid w:val="00CC3198"/>
    <w:rsid w:val="00CC6494"/>
    <w:rsid w:val="00CC6E63"/>
    <w:rsid w:val="00CD136B"/>
    <w:rsid w:val="00CD1ED2"/>
    <w:rsid w:val="00CD56D6"/>
    <w:rsid w:val="00CD653B"/>
    <w:rsid w:val="00CE1037"/>
    <w:rsid w:val="00CE1227"/>
    <w:rsid w:val="00CE18F0"/>
    <w:rsid w:val="00CE2F68"/>
    <w:rsid w:val="00CE425F"/>
    <w:rsid w:val="00CE4508"/>
    <w:rsid w:val="00CE7C03"/>
    <w:rsid w:val="00CF022D"/>
    <w:rsid w:val="00CF4347"/>
    <w:rsid w:val="00CF4EAB"/>
    <w:rsid w:val="00CF5185"/>
    <w:rsid w:val="00D00919"/>
    <w:rsid w:val="00D01F26"/>
    <w:rsid w:val="00D03DC7"/>
    <w:rsid w:val="00D06BCE"/>
    <w:rsid w:val="00D104FC"/>
    <w:rsid w:val="00D11EDA"/>
    <w:rsid w:val="00D13570"/>
    <w:rsid w:val="00D13969"/>
    <w:rsid w:val="00D13D59"/>
    <w:rsid w:val="00D160FD"/>
    <w:rsid w:val="00D16FED"/>
    <w:rsid w:val="00D20B8D"/>
    <w:rsid w:val="00D244C8"/>
    <w:rsid w:val="00D328BA"/>
    <w:rsid w:val="00D33B7C"/>
    <w:rsid w:val="00D34431"/>
    <w:rsid w:val="00D35274"/>
    <w:rsid w:val="00D4070D"/>
    <w:rsid w:val="00D41223"/>
    <w:rsid w:val="00D41377"/>
    <w:rsid w:val="00D426C8"/>
    <w:rsid w:val="00D45D5A"/>
    <w:rsid w:val="00D4799B"/>
    <w:rsid w:val="00D533CA"/>
    <w:rsid w:val="00D54361"/>
    <w:rsid w:val="00D5516C"/>
    <w:rsid w:val="00D573ED"/>
    <w:rsid w:val="00D60189"/>
    <w:rsid w:val="00D64CA7"/>
    <w:rsid w:val="00D657F2"/>
    <w:rsid w:val="00D65BFA"/>
    <w:rsid w:val="00D670CE"/>
    <w:rsid w:val="00D67AB7"/>
    <w:rsid w:val="00D71FD9"/>
    <w:rsid w:val="00D72529"/>
    <w:rsid w:val="00D742EC"/>
    <w:rsid w:val="00D81AA7"/>
    <w:rsid w:val="00D8685D"/>
    <w:rsid w:val="00D92024"/>
    <w:rsid w:val="00D92923"/>
    <w:rsid w:val="00D92AF8"/>
    <w:rsid w:val="00D93560"/>
    <w:rsid w:val="00D960AB"/>
    <w:rsid w:val="00D966FA"/>
    <w:rsid w:val="00DA2635"/>
    <w:rsid w:val="00DB0874"/>
    <w:rsid w:val="00DB30FF"/>
    <w:rsid w:val="00DB3118"/>
    <w:rsid w:val="00DB4A15"/>
    <w:rsid w:val="00DB7008"/>
    <w:rsid w:val="00DC030E"/>
    <w:rsid w:val="00DC7CE5"/>
    <w:rsid w:val="00DD137B"/>
    <w:rsid w:val="00DD2481"/>
    <w:rsid w:val="00DD36AE"/>
    <w:rsid w:val="00DD42A1"/>
    <w:rsid w:val="00DD6BF3"/>
    <w:rsid w:val="00DE27A9"/>
    <w:rsid w:val="00DE7783"/>
    <w:rsid w:val="00DF6347"/>
    <w:rsid w:val="00DF75FB"/>
    <w:rsid w:val="00E009C0"/>
    <w:rsid w:val="00E05A39"/>
    <w:rsid w:val="00E07C82"/>
    <w:rsid w:val="00E126E0"/>
    <w:rsid w:val="00E138DF"/>
    <w:rsid w:val="00E14304"/>
    <w:rsid w:val="00E156EF"/>
    <w:rsid w:val="00E201D6"/>
    <w:rsid w:val="00E24752"/>
    <w:rsid w:val="00E27516"/>
    <w:rsid w:val="00E27A52"/>
    <w:rsid w:val="00E30BCB"/>
    <w:rsid w:val="00E3165F"/>
    <w:rsid w:val="00E3181E"/>
    <w:rsid w:val="00E32B26"/>
    <w:rsid w:val="00E351C6"/>
    <w:rsid w:val="00E35F15"/>
    <w:rsid w:val="00E361C4"/>
    <w:rsid w:val="00E36D1E"/>
    <w:rsid w:val="00E40C1E"/>
    <w:rsid w:val="00E41F36"/>
    <w:rsid w:val="00E430F5"/>
    <w:rsid w:val="00E45A36"/>
    <w:rsid w:val="00E50D22"/>
    <w:rsid w:val="00E54515"/>
    <w:rsid w:val="00E56384"/>
    <w:rsid w:val="00E605EB"/>
    <w:rsid w:val="00E61861"/>
    <w:rsid w:val="00E66393"/>
    <w:rsid w:val="00E7097F"/>
    <w:rsid w:val="00E70A62"/>
    <w:rsid w:val="00E72360"/>
    <w:rsid w:val="00E72608"/>
    <w:rsid w:val="00E73024"/>
    <w:rsid w:val="00E7389A"/>
    <w:rsid w:val="00E73940"/>
    <w:rsid w:val="00E81B0D"/>
    <w:rsid w:val="00E86BA4"/>
    <w:rsid w:val="00E900B4"/>
    <w:rsid w:val="00E93057"/>
    <w:rsid w:val="00E96B60"/>
    <w:rsid w:val="00E9774D"/>
    <w:rsid w:val="00EA0533"/>
    <w:rsid w:val="00EA5A9A"/>
    <w:rsid w:val="00EA5FA4"/>
    <w:rsid w:val="00EA6C4A"/>
    <w:rsid w:val="00EA6F0D"/>
    <w:rsid w:val="00EB3CCB"/>
    <w:rsid w:val="00EB3E04"/>
    <w:rsid w:val="00EB6F76"/>
    <w:rsid w:val="00EC541F"/>
    <w:rsid w:val="00EC72D9"/>
    <w:rsid w:val="00ED1549"/>
    <w:rsid w:val="00ED594D"/>
    <w:rsid w:val="00EE06D6"/>
    <w:rsid w:val="00EE0F2C"/>
    <w:rsid w:val="00EE1BCC"/>
    <w:rsid w:val="00EE4222"/>
    <w:rsid w:val="00EE66A9"/>
    <w:rsid w:val="00EF1E0E"/>
    <w:rsid w:val="00EF49BF"/>
    <w:rsid w:val="00EF6100"/>
    <w:rsid w:val="00EF65A4"/>
    <w:rsid w:val="00EF6801"/>
    <w:rsid w:val="00F01B10"/>
    <w:rsid w:val="00F03285"/>
    <w:rsid w:val="00F053C9"/>
    <w:rsid w:val="00F069BC"/>
    <w:rsid w:val="00F06BD9"/>
    <w:rsid w:val="00F074F9"/>
    <w:rsid w:val="00F100B4"/>
    <w:rsid w:val="00F11B8D"/>
    <w:rsid w:val="00F12B25"/>
    <w:rsid w:val="00F144DD"/>
    <w:rsid w:val="00F204D1"/>
    <w:rsid w:val="00F232CB"/>
    <w:rsid w:val="00F279D8"/>
    <w:rsid w:val="00F3269B"/>
    <w:rsid w:val="00F35016"/>
    <w:rsid w:val="00F35A71"/>
    <w:rsid w:val="00F35D67"/>
    <w:rsid w:val="00F366B2"/>
    <w:rsid w:val="00F41D80"/>
    <w:rsid w:val="00F42D2A"/>
    <w:rsid w:val="00F434C9"/>
    <w:rsid w:val="00F50397"/>
    <w:rsid w:val="00F523C7"/>
    <w:rsid w:val="00F5449F"/>
    <w:rsid w:val="00F5555C"/>
    <w:rsid w:val="00F555B9"/>
    <w:rsid w:val="00F62307"/>
    <w:rsid w:val="00F64AF6"/>
    <w:rsid w:val="00F6643D"/>
    <w:rsid w:val="00F67CD4"/>
    <w:rsid w:val="00F71834"/>
    <w:rsid w:val="00F774F4"/>
    <w:rsid w:val="00F81203"/>
    <w:rsid w:val="00F84263"/>
    <w:rsid w:val="00F8509D"/>
    <w:rsid w:val="00F90AFA"/>
    <w:rsid w:val="00F934C6"/>
    <w:rsid w:val="00F94FB7"/>
    <w:rsid w:val="00FA2704"/>
    <w:rsid w:val="00FA2936"/>
    <w:rsid w:val="00FA2D87"/>
    <w:rsid w:val="00FA34A2"/>
    <w:rsid w:val="00FA4CE5"/>
    <w:rsid w:val="00FA52CD"/>
    <w:rsid w:val="00FA5FC3"/>
    <w:rsid w:val="00FA6F61"/>
    <w:rsid w:val="00FB0681"/>
    <w:rsid w:val="00FB3953"/>
    <w:rsid w:val="00FB4F68"/>
    <w:rsid w:val="00FC243C"/>
    <w:rsid w:val="00FC33A0"/>
    <w:rsid w:val="00FC41BC"/>
    <w:rsid w:val="00FC680B"/>
    <w:rsid w:val="00FC6CEE"/>
    <w:rsid w:val="00FC74D2"/>
    <w:rsid w:val="00FD3A4F"/>
    <w:rsid w:val="00FD73CB"/>
    <w:rsid w:val="00FE1EFB"/>
    <w:rsid w:val="00FE30F5"/>
    <w:rsid w:val="00FE3E1B"/>
    <w:rsid w:val="00FE6560"/>
    <w:rsid w:val="00FE7244"/>
    <w:rsid w:val="00FE73B5"/>
    <w:rsid w:val="00FF0440"/>
    <w:rsid w:val="00FF1065"/>
    <w:rsid w:val="00FF204B"/>
    <w:rsid w:val="00FF4109"/>
    <w:rsid w:val="00FF606F"/>
    <w:rsid w:val="00FF6183"/>
    <w:rsid w:val="031E1A5E"/>
    <w:rsid w:val="05A21250"/>
    <w:rsid w:val="060431CB"/>
    <w:rsid w:val="06FEA8C6"/>
    <w:rsid w:val="0F1640E4"/>
    <w:rsid w:val="107B46CF"/>
    <w:rsid w:val="1093E42B"/>
    <w:rsid w:val="140D4A1D"/>
    <w:rsid w:val="15AC37FE"/>
    <w:rsid w:val="17FF01B9"/>
    <w:rsid w:val="1A1830AA"/>
    <w:rsid w:val="1A665EDB"/>
    <w:rsid w:val="1B031DD3"/>
    <w:rsid w:val="21B55707"/>
    <w:rsid w:val="21DD9906"/>
    <w:rsid w:val="23FDCDE6"/>
    <w:rsid w:val="277F7CDE"/>
    <w:rsid w:val="29B25584"/>
    <w:rsid w:val="2EFF8576"/>
    <w:rsid w:val="2FEA115F"/>
    <w:rsid w:val="322A5122"/>
    <w:rsid w:val="32940EC6"/>
    <w:rsid w:val="378C6703"/>
    <w:rsid w:val="3B015D28"/>
    <w:rsid w:val="3E7E125E"/>
    <w:rsid w:val="3EF203C9"/>
    <w:rsid w:val="3EFF6407"/>
    <w:rsid w:val="3FEED631"/>
    <w:rsid w:val="3FF7E9B0"/>
    <w:rsid w:val="426E3807"/>
    <w:rsid w:val="428002D3"/>
    <w:rsid w:val="42F22806"/>
    <w:rsid w:val="43417D97"/>
    <w:rsid w:val="43C73760"/>
    <w:rsid w:val="46560983"/>
    <w:rsid w:val="4DB37BBE"/>
    <w:rsid w:val="4DFC2F22"/>
    <w:rsid w:val="57ECC9E3"/>
    <w:rsid w:val="58616BCB"/>
    <w:rsid w:val="5C771B50"/>
    <w:rsid w:val="5CF8563D"/>
    <w:rsid w:val="5EDE2980"/>
    <w:rsid w:val="5EFB62F1"/>
    <w:rsid w:val="5F4E6074"/>
    <w:rsid w:val="629050D8"/>
    <w:rsid w:val="66E2688F"/>
    <w:rsid w:val="675FAB75"/>
    <w:rsid w:val="679F24D2"/>
    <w:rsid w:val="67FBEFE5"/>
    <w:rsid w:val="6B7FE8D5"/>
    <w:rsid w:val="6EB27A39"/>
    <w:rsid w:val="6F0E6696"/>
    <w:rsid w:val="6F7F60EB"/>
    <w:rsid w:val="7236431B"/>
    <w:rsid w:val="724A21AA"/>
    <w:rsid w:val="74E70E3A"/>
    <w:rsid w:val="76FB038D"/>
    <w:rsid w:val="78EF6C1C"/>
    <w:rsid w:val="7A8D59D4"/>
    <w:rsid w:val="7CEE0D51"/>
    <w:rsid w:val="7D066685"/>
    <w:rsid w:val="7EAF6033"/>
    <w:rsid w:val="7ECF58A0"/>
    <w:rsid w:val="7EF97BE0"/>
    <w:rsid w:val="7FEDAAB5"/>
    <w:rsid w:val="7FEE4047"/>
    <w:rsid w:val="7FF61F26"/>
    <w:rsid w:val="8B37247F"/>
    <w:rsid w:val="BC6E9E64"/>
    <w:rsid w:val="BFBF48D4"/>
    <w:rsid w:val="BFC7598D"/>
    <w:rsid w:val="CF72C820"/>
    <w:rsid w:val="DABF73BE"/>
    <w:rsid w:val="DDFD1956"/>
    <w:rsid w:val="EBD19C18"/>
    <w:rsid w:val="EBFC3CB4"/>
    <w:rsid w:val="EF0F9590"/>
    <w:rsid w:val="F3DFC0D6"/>
    <w:rsid w:val="F6A7B4BA"/>
    <w:rsid w:val="F977ABB2"/>
    <w:rsid w:val="FFDCDCD7"/>
    <w:rsid w:val="FFEE7227"/>
    <w:rsid w:val="FFEF9A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仿宋_GB2312"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1"/>
    <w:semiHidden/>
    <w:unhideWhenUsed/>
    <w:qFormat/>
    <w:uiPriority w:val="9"/>
    <w:pPr>
      <w:keepNext/>
      <w:keepLines/>
      <w:spacing w:before="260" w:after="260" w:line="416" w:lineRule="auto"/>
      <w:outlineLvl w:val="2"/>
    </w:pPr>
    <w:rPr>
      <w:b/>
      <w:bCs/>
      <w:sz w:val="32"/>
      <w:szCs w:val="32"/>
    </w:rPr>
  </w:style>
  <w:style w:type="paragraph" w:styleId="8">
    <w:name w:val="heading 4"/>
    <w:basedOn w:val="1"/>
    <w:next w:val="1"/>
    <w:link w:val="37"/>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41"/>
    <w:qFormat/>
    <w:uiPriority w:val="0"/>
    <w:pPr>
      <w:ind w:firstLine="420" w:firstLineChars="200"/>
    </w:pPr>
    <w:rPr>
      <w:rFonts w:ascii="Times New Roman" w:hAnsi="Times New Roman" w:eastAsia="仿宋_GB2312" w:cs="仿宋_GB2312"/>
      <w:sz w:val="32"/>
      <w:szCs w:val="24"/>
    </w:rPr>
  </w:style>
  <w:style w:type="paragraph" w:styleId="3">
    <w:name w:val="Body Text Indent"/>
    <w:basedOn w:val="1"/>
    <w:next w:val="4"/>
    <w:link w:val="40"/>
    <w:semiHidden/>
    <w:unhideWhenUsed/>
    <w:qFormat/>
    <w:uiPriority w:val="99"/>
    <w:pPr>
      <w:spacing w:after="120"/>
      <w:ind w:left="420" w:leftChars="200"/>
    </w:pPr>
  </w:style>
  <w:style w:type="paragraph" w:styleId="4">
    <w:name w:val="envelope return"/>
    <w:basedOn w:val="1"/>
    <w:qFormat/>
    <w:uiPriority w:val="0"/>
    <w:pPr>
      <w:snapToGrid w:val="0"/>
    </w:pPr>
    <w:rPr>
      <w:rFonts w:ascii="Arial" w:hAnsi="Arial"/>
    </w:rPr>
  </w:style>
  <w:style w:type="paragraph" w:styleId="9">
    <w:name w:val="annotation text"/>
    <w:basedOn w:val="1"/>
    <w:link w:val="47"/>
    <w:unhideWhenUsed/>
    <w:qFormat/>
    <w:uiPriority w:val="99"/>
    <w:pPr>
      <w:jc w:val="left"/>
    </w:pPr>
  </w:style>
  <w:style w:type="paragraph" w:styleId="10">
    <w:name w:val="Date"/>
    <w:basedOn w:val="1"/>
    <w:next w:val="1"/>
    <w:link w:val="34"/>
    <w:semiHidden/>
    <w:unhideWhenUsed/>
    <w:qFormat/>
    <w:uiPriority w:val="99"/>
    <w:pPr>
      <w:ind w:left="100" w:leftChars="2500"/>
    </w:pPr>
  </w:style>
  <w:style w:type="paragraph" w:styleId="11">
    <w:name w:val="Body Text Indent 2"/>
    <w:basedOn w:val="1"/>
    <w:unhideWhenUsed/>
    <w:qFormat/>
    <w:uiPriority w:val="99"/>
    <w:pPr>
      <w:spacing w:after="120" w:line="480" w:lineRule="auto"/>
      <w:ind w:left="420" w:leftChars="200"/>
    </w:pPr>
    <w:rPr>
      <w:szCs w:val="24"/>
    </w:rPr>
  </w:style>
  <w:style w:type="paragraph" w:styleId="12">
    <w:name w:val="footer"/>
    <w:basedOn w:val="1"/>
    <w:link w:val="28"/>
    <w:unhideWhenUsed/>
    <w:qFormat/>
    <w:uiPriority w:val="99"/>
    <w:pPr>
      <w:tabs>
        <w:tab w:val="center" w:pos="4153"/>
        <w:tab w:val="right" w:pos="8306"/>
      </w:tabs>
      <w:snapToGrid w:val="0"/>
      <w:jc w:val="left"/>
    </w:pPr>
    <w:rPr>
      <w:sz w:val="18"/>
      <w:szCs w:val="18"/>
    </w:rPr>
  </w:style>
  <w:style w:type="paragraph" w:styleId="13">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spacing w:before="120" w:after="120" w:line="600" w:lineRule="exact"/>
      <w:ind w:firstLine="640" w:firstLineChars="200"/>
    </w:pPr>
    <w:rPr>
      <w:rFonts w:ascii="Times New Roman" w:hAnsi="Times New Roman" w:eastAsia="仿宋_GB2312" w:cs="仿宋_GB2312"/>
      <w:b/>
      <w:bCs/>
      <w:caps/>
      <w:sz w:val="20"/>
      <w:szCs w:val="20"/>
    </w:rPr>
  </w:style>
  <w:style w:type="paragraph" w:styleId="15">
    <w:name w:val="toc 2"/>
    <w:basedOn w:val="1"/>
    <w:next w:val="1"/>
    <w:unhideWhenUsed/>
    <w:qFormat/>
    <w:uiPriority w:val="39"/>
    <w:pPr>
      <w:spacing w:line="600" w:lineRule="exact"/>
      <w:ind w:left="240" w:firstLine="640" w:firstLineChars="200"/>
    </w:pPr>
    <w:rPr>
      <w:rFonts w:ascii="Times New Roman" w:hAnsi="Times New Roman" w:eastAsia="仿宋_GB2312" w:cs="仿宋_GB2312"/>
      <w:smallCaps/>
      <w:sz w:val="20"/>
      <w:szCs w:val="20"/>
    </w:rPr>
  </w:style>
  <w:style w:type="paragraph" w:styleId="16">
    <w:name w:val="Normal (Web)"/>
    <w:basedOn w:val="1"/>
    <w:qFormat/>
    <w:uiPriority w:val="0"/>
    <w:pPr>
      <w:widowControl/>
      <w:spacing w:beforeAutospacing="1" w:afterAutospacing="1"/>
      <w:jc w:val="left"/>
    </w:pPr>
    <w:rPr>
      <w:rFonts w:cs="Times New Roman"/>
      <w:kern w:val="0"/>
      <w:sz w:val="24"/>
      <w:szCs w:val="24"/>
    </w:rPr>
  </w:style>
  <w:style w:type="paragraph" w:styleId="17">
    <w:name w:val="annotation subject"/>
    <w:basedOn w:val="9"/>
    <w:next w:val="9"/>
    <w:link w:val="48"/>
    <w:semiHidden/>
    <w:unhideWhenUsed/>
    <w:qFormat/>
    <w:uiPriority w:val="99"/>
    <w:rPr>
      <w:b/>
      <w:bCs/>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styleId="23">
    <w:name w:val="annotation reference"/>
    <w:basedOn w:val="20"/>
    <w:semiHidden/>
    <w:unhideWhenUsed/>
    <w:qFormat/>
    <w:uiPriority w:val="99"/>
    <w:rPr>
      <w:sz w:val="21"/>
      <w:szCs w:val="21"/>
    </w:rPr>
  </w:style>
  <w:style w:type="paragraph" w:customStyle="1" w:styleId="24">
    <w:name w:val="【新版】一级标题"/>
    <w:basedOn w:val="5"/>
    <w:next w:val="25"/>
    <w:qFormat/>
    <w:uiPriority w:val="0"/>
    <w:pPr>
      <w:spacing w:before="0" w:after="0" w:line="720" w:lineRule="exact"/>
      <w:jc w:val="center"/>
    </w:pPr>
    <w:rPr>
      <w:rFonts w:ascii="Times New Roman" w:hAnsi="Times New Roman" w:eastAsia="黑体" w:cs="Times New Roman"/>
      <w:b w:val="0"/>
      <w:bCs w:val="0"/>
      <w:sz w:val="36"/>
      <w:szCs w:val="21"/>
      <w:lang w:val="en-GB"/>
    </w:rPr>
  </w:style>
  <w:style w:type="paragraph" w:customStyle="1" w:styleId="25">
    <w:name w:val="【新版】正文"/>
    <w:basedOn w:val="1"/>
    <w:qFormat/>
    <w:uiPriority w:val="0"/>
    <w:pPr>
      <w:spacing w:line="600" w:lineRule="exact"/>
      <w:ind w:firstLine="200" w:firstLineChars="200"/>
    </w:pPr>
    <w:rPr>
      <w:rFonts w:eastAsia="仿宋"/>
      <w:sz w:val="30"/>
    </w:rPr>
  </w:style>
  <w:style w:type="character" w:customStyle="1" w:styleId="26">
    <w:name w:val="标题 1 字符"/>
    <w:basedOn w:val="20"/>
    <w:link w:val="5"/>
    <w:qFormat/>
    <w:uiPriority w:val="9"/>
    <w:rPr>
      <w:b/>
      <w:bCs/>
      <w:kern w:val="44"/>
      <w:sz w:val="44"/>
      <w:szCs w:val="44"/>
    </w:rPr>
  </w:style>
  <w:style w:type="character" w:customStyle="1" w:styleId="27">
    <w:name w:val="页眉 字符"/>
    <w:basedOn w:val="20"/>
    <w:link w:val="13"/>
    <w:qFormat/>
    <w:uiPriority w:val="99"/>
    <w:rPr>
      <w:sz w:val="18"/>
      <w:szCs w:val="18"/>
    </w:rPr>
  </w:style>
  <w:style w:type="character" w:customStyle="1" w:styleId="28">
    <w:name w:val="页脚 字符"/>
    <w:basedOn w:val="20"/>
    <w:link w:val="12"/>
    <w:qFormat/>
    <w:uiPriority w:val="99"/>
    <w:rPr>
      <w:sz w:val="18"/>
      <w:szCs w:val="18"/>
    </w:rPr>
  </w:style>
  <w:style w:type="paragraph" w:customStyle="1" w:styleId="29">
    <w:name w:val="【新版】二级标题"/>
    <w:basedOn w:val="6"/>
    <w:next w:val="25"/>
    <w:qFormat/>
    <w:uiPriority w:val="0"/>
    <w:pPr>
      <w:spacing w:before="0" w:after="0" w:line="720" w:lineRule="exact"/>
      <w:jc w:val="center"/>
    </w:pPr>
    <w:rPr>
      <w:rFonts w:eastAsia="黑体"/>
      <w:b w:val="0"/>
    </w:rPr>
  </w:style>
  <w:style w:type="paragraph" w:customStyle="1" w:styleId="30">
    <w:name w:val="【新版】三级标题"/>
    <w:basedOn w:val="7"/>
    <w:next w:val="25"/>
    <w:qFormat/>
    <w:uiPriority w:val="0"/>
    <w:pPr>
      <w:spacing w:before="0" w:after="0" w:line="720" w:lineRule="exact"/>
      <w:ind w:firstLine="200" w:firstLineChars="200"/>
      <w:jc w:val="left"/>
    </w:pPr>
    <w:rPr>
      <w:rFonts w:eastAsia="黑体"/>
      <w:b w:val="0"/>
      <w:sz w:val="30"/>
    </w:rPr>
  </w:style>
  <w:style w:type="character" w:customStyle="1" w:styleId="31">
    <w:name w:val="标题 3 字符"/>
    <w:basedOn w:val="20"/>
    <w:link w:val="7"/>
    <w:semiHidden/>
    <w:qFormat/>
    <w:uiPriority w:val="9"/>
    <w:rPr>
      <w:b/>
      <w:bCs/>
      <w:sz w:val="32"/>
      <w:szCs w:val="32"/>
    </w:rPr>
  </w:style>
  <w:style w:type="paragraph" w:customStyle="1" w:styleId="32">
    <w:name w:val="【新版】图表"/>
    <w:basedOn w:val="1"/>
    <w:next w:val="25"/>
    <w:qFormat/>
    <w:uiPriority w:val="0"/>
    <w:pPr>
      <w:spacing w:line="600" w:lineRule="exact"/>
      <w:jc w:val="center"/>
    </w:pPr>
    <w:rPr>
      <w:rFonts w:eastAsia="黑体"/>
      <w:sz w:val="24"/>
    </w:rPr>
  </w:style>
  <w:style w:type="character" w:customStyle="1" w:styleId="33">
    <w:name w:val="标题 2 字符"/>
    <w:basedOn w:val="20"/>
    <w:link w:val="6"/>
    <w:qFormat/>
    <w:uiPriority w:val="9"/>
    <w:rPr>
      <w:rFonts w:asciiTheme="majorHAnsi" w:hAnsiTheme="majorHAnsi" w:eastAsiaTheme="majorEastAsia" w:cstheme="majorBidi"/>
      <w:b/>
      <w:bCs/>
      <w:sz w:val="32"/>
      <w:szCs w:val="32"/>
    </w:rPr>
  </w:style>
  <w:style w:type="character" w:customStyle="1" w:styleId="34">
    <w:name w:val="日期 字符"/>
    <w:basedOn w:val="20"/>
    <w:link w:val="10"/>
    <w:semiHidden/>
    <w:qFormat/>
    <w:uiPriority w:val="99"/>
  </w:style>
  <w:style w:type="paragraph" w:customStyle="1" w:styleId="35">
    <w:name w:val="【新版】图"/>
    <w:basedOn w:val="25"/>
    <w:next w:val="25"/>
    <w:qFormat/>
    <w:uiPriority w:val="0"/>
    <w:pPr>
      <w:spacing w:line="240" w:lineRule="auto"/>
      <w:ind w:firstLine="0" w:firstLineChars="0"/>
      <w:jc w:val="center"/>
    </w:pPr>
  </w:style>
  <w:style w:type="character" w:customStyle="1" w:styleId="36">
    <w:name w:val="未处理的提及1"/>
    <w:basedOn w:val="20"/>
    <w:semiHidden/>
    <w:unhideWhenUsed/>
    <w:qFormat/>
    <w:uiPriority w:val="99"/>
    <w:rPr>
      <w:color w:val="605E5C"/>
      <w:shd w:val="clear" w:color="auto" w:fill="E1DFDD"/>
    </w:rPr>
  </w:style>
  <w:style w:type="character" w:customStyle="1" w:styleId="37">
    <w:name w:val="标题 4 字符"/>
    <w:basedOn w:val="20"/>
    <w:link w:val="8"/>
    <w:semiHidden/>
    <w:qFormat/>
    <w:uiPriority w:val="9"/>
    <w:rPr>
      <w:rFonts w:asciiTheme="majorHAnsi" w:hAnsiTheme="majorHAnsi" w:eastAsiaTheme="majorEastAsia" w:cstheme="majorBidi"/>
      <w:b/>
      <w:bCs/>
      <w:sz w:val="28"/>
      <w:szCs w:val="28"/>
    </w:rPr>
  </w:style>
  <w:style w:type="paragraph" w:customStyle="1" w:styleId="38">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39">
    <w:name w:val="BodyText"/>
    <w:basedOn w:val="1"/>
    <w:qFormat/>
    <w:uiPriority w:val="0"/>
    <w:pPr>
      <w:spacing w:after="120" w:line="600" w:lineRule="exact"/>
      <w:ind w:firstLine="640" w:firstLineChars="200"/>
    </w:pPr>
    <w:rPr>
      <w:rFonts w:ascii="Times New Roman" w:hAnsi="Times New Roman" w:eastAsia="仿宋_GB2312" w:cs="仿宋_GB2312"/>
      <w:sz w:val="32"/>
    </w:rPr>
  </w:style>
  <w:style w:type="character" w:customStyle="1" w:styleId="40">
    <w:name w:val="正文文本缩进 字符"/>
    <w:basedOn w:val="20"/>
    <w:link w:val="3"/>
    <w:semiHidden/>
    <w:qFormat/>
    <w:uiPriority w:val="99"/>
  </w:style>
  <w:style w:type="character" w:customStyle="1" w:styleId="41">
    <w:name w:val="正文文本首行缩进 2 字符"/>
    <w:basedOn w:val="40"/>
    <w:link w:val="2"/>
    <w:qFormat/>
    <w:uiPriority w:val="0"/>
    <w:rPr>
      <w:rFonts w:ascii="Times New Roman" w:hAnsi="Times New Roman" w:eastAsia="仿宋_GB2312" w:cs="仿宋_GB2312"/>
      <w:sz w:val="32"/>
      <w:szCs w:val="24"/>
    </w:rPr>
  </w:style>
  <w:style w:type="paragraph" w:styleId="42">
    <w:name w:val="List Paragraph"/>
    <w:basedOn w:val="1"/>
    <w:qFormat/>
    <w:uiPriority w:val="34"/>
    <w:pPr>
      <w:ind w:firstLine="420" w:firstLineChars="200"/>
    </w:pPr>
  </w:style>
  <w:style w:type="paragraph" w:customStyle="1" w:styleId="43">
    <w:name w:val="Table Text"/>
    <w:basedOn w:val="1"/>
    <w:qFormat/>
    <w:uiPriority w:val="0"/>
    <w:rPr>
      <w:rFonts w:ascii="宋体" w:hAnsi="宋体" w:eastAsia="宋体" w:cs="宋体"/>
      <w:szCs w:val="21"/>
      <w:lang w:eastAsia="en-US"/>
    </w:rPr>
  </w:style>
  <w:style w:type="table" w:customStyle="1" w:styleId="44">
    <w:name w:val="Table Normal"/>
    <w:qFormat/>
    <w:uiPriority w:val="0"/>
    <w:rPr>
      <w:rFonts w:ascii="Times New Roman" w:hAnsi="Times New Roman" w:eastAsia="宋体" w:cs="Times New Roman"/>
    </w:rPr>
    <w:tblPr>
      <w:tblCellMar>
        <w:top w:w="0" w:type="dxa"/>
        <w:left w:w="0" w:type="dxa"/>
        <w:bottom w:w="0" w:type="dxa"/>
        <w:right w:w="0" w:type="dxa"/>
      </w:tblCellMar>
    </w:tblPr>
  </w:style>
  <w:style w:type="paragraph" w:customStyle="1" w:styleId="45">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46">
    <w:name w:val="【新版】专栏"/>
    <w:basedOn w:val="25"/>
    <w:qFormat/>
    <w:uiPriority w:val="0"/>
    <w:pPr>
      <w:spacing w:line="520" w:lineRule="exact"/>
    </w:pPr>
    <w:rPr>
      <w:bCs/>
      <w:sz w:val="28"/>
    </w:rPr>
  </w:style>
  <w:style w:type="character" w:customStyle="1" w:styleId="47">
    <w:name w:val="批注文字 字符"/>
    <w:basedOn w:val="20"/>
    <w:link w:val="9"/>
    <w:qFormat/>
    <w:uiPriority w:val="99"/>
  </w:style>
  <w:style w:type="character" w:customStyle="1" w:styleId="48">
    <w:name w:val="批注主题 字符"/>
    <w:basedOn w:val="47"/>
    <w:link w:val="17"/>
    <w:semiHidden/>
    <w:qFormat/>
    <w:uiPriority w:val="99"/>
    <w:rPr>
      <w:b/>
      <w:bCs/>
    </w:rPr>
  </w:style>
  <w:style w:type="paragraph" w:customStyle="1" w:styleId="49">
    <w:name w:val="pf0"/>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50">
    <w:name w:val="cf01"/>
    <w:basedOn w:val="20"/>
    <w:qFormat/>
    <w:uiPriority w:val="0"/>
    <w:rPr>
      <w:rFonts w:hint="eastAsia" w:ascii="Microsoft YaHei UI" w:hAnsi="Microsoft YaHei UI" w:eastAsia="Microsoft YaHei UI"/>
      <w:sz w:val="18"/>
      <w:szCs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3.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acb46293-12fc-464d-96ef-9964f2f8b6a1</errorID>
      <errorWord xmlns="http://schemas.wps.cn/vas-ai-hub/contract-review">增强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提升</item>
      </candidateList>
      <explain xmlns="http://schemas.wps.cn/vas-ai-hub/contract-review">“水平～增强”搭配不当，建议修改为“水平～提升”。</explain>
      <paraID xmlns="http://schemas.wps.cn/vas-ai-hub/contract-review">7180BE5B</paraID>
      <start xmlns="http://schemas.wps.cn/vas-ai-hub/contract-review">8</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8b4d753a-4183-4d27-b124-f105591ec386</errorID>
      <errorWord xmlns="http://schemas.wps.cn/vas-ai-hub/contract-review">晃牛</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黄牛</item>
      </candidateList>
      <explain xmlns="http://schemas.wps.cn/vas-ai-hub/contract-review">存在发音相同字词的误用。</explain>
      <paraID xmlns="http://schemas.wps.cn/vas-ai-hub/contract-review">7180BE5B</paraID>
      <start xmlns="http://schemas.wps.cn/vas-ai-hub/contract-review">139</start>
      <end xmlns="http://schemas.wps.cn/vas-ai-hub/contract-review">141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51c7a470-e84a-4eb0-af04-14618f365931</errorID>
      <errorWord xmlns="http://schemas.wps.cn/vas-ai-hub/contract-review">深化，“放管服”改革</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深化“放管服”改革</item>
      </candidateList>
      <explain xmlns="http://schemas.wps.cn/vas-ai-hub/contract-review">注意检查当前固定表述标点是否使用规范。</explain>
      <paraID xmlns="http://schemas.wps.cn/vas-ai-hub/contract-review">731390C2</paraID>
      <start xmlns="http://schemas.wps.cn/vas-ai-hub/contract-review">17</start>
      <end xmlns="http://schemas.wps.cn/vas-ai-hub/contract-review">27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ba76dd4c-87ce-49ed-9135-125142abde30</errorID>
      <errorWord xmlns="http://schemas.wps.cn/vas-ai-hub/contract-review">货运吞吐量</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货物吞吐量</item>
      </candidateList>
      <explain xmlns="http://schemas.wps.cn/vas-ai-hub/contract-review"/>
      <paraID xmlns="http://schemas.wps.cn/vas-ai-hub/contract-review">731390C2</paraID>
      <start xmlns="http://schemas.wps.cn/vas-ai-hub/contract-review">342</start>
      <end xmlns="http://schemas.wps.cn/vas-ai-hub/contract-review">347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98f2244f-45a2-48d5-9fd9-5c36c4a90c86</errorID>
      <errorWord xmlns="http://schemas.wps.cn/vas-ai-hub/contract-review">达</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达到</item>
      </candidateList>
      <explain xmlns="http://schemas.wps.cn/vas-ai-hub/contract-review">〈动〉到（多指抽象事物或程度）：达得到｜达不到｜目的没有～｜～国际水平。</explain>
      <paraID xmlns="http://schemas.wps.cn/vas-ai-hub/contract-review">7046A74E</paraID>
      <start xmlns="http://schemas.wps.cn/vas-ai-hub/contract-review">115</start>
      <end xmlns="http://schemas.wps.cn/vas-ai-hub/contract-review">116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98555a82-07b9-46f8-ae9d-3060f8f061ba</errorID>
      <errorWord xmlns="http://schemas.wps.cn/vas-ai-hub/contract-review">十三五</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‘十三五’</item>
      </candidateList>
      <explain xmlns="http://schemas.wps.cn/vas-ai-hub/contract-review">注意检查当前固定表述标点是否使用规范。</explain>
      <paraID xmlns="http://schemas.wps.cn/vas-ai-hub/contract-review">7046A74E</paraID>
      <start xmlns="http://schemas.wps.cn/vas-ai-hub/contract-review">170</start>
      <end xmlns="http://schemas.wps.cn/vas-ai-hub/contract-review">173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fc60627e-3c19-45f0-b8e6-e3fec542a610</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6E197591</paraID>
      <start xmlns="http://schemas.wps.cn/vas-ai-hub/contract-review">7</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ae4c0d39-3f5a-451e-924f-7b91d927e936</errorID>
      <errorWord xmlns="http://schemas.wps.cn/vas-ai-hub/contract-review">新一轮技术革命</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新一轮科技革命</item>
      </candidateList>
      <explain xmlns="http://schemas.wps.cn/vas-ai-hub/contract-review">词汇“新一轮科技革命”在特定场景下为固定表述形式，请确认此处的“新一轮技术革命”是否存在不当。</explain>
      <paraID xmlns="http://schemas.wps.cn/vas-ai-hub/contract-review">508ACEC6</paraID>
      <start xmlns="http://schemas.wps.cn/vas-ai-hub/contract-review">28</start>
      <end xmlns="http://schemas.wps.cn/vas-ai-hub/contract-review">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005661f8-9802-43f4-9594-5ede1f06c57f</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508ACEC6</paraID>
      <start xmlns="http://schemas.wps.cn/vas-ai-hub/contract-review">169</start>
      <end xmlns="http://schemas.wps.cn/vas-ai-hub/contract-review">172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8394ce47-b391-41bc-adcf-6403f269513e</errorID>
      <errorWord xmlns="http://schemas.wps.cn/vas-ai-hub/contract-review">现代经济体系</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现代化经济体系</item>
      </candidateList>
      <explain xmlns="http://schemas.wps.cn/vas-ai-hub/contract-review"/>
      <paraID xmlns="http://schemas.wps.cn/vas-ai-hub/contract-review">508ACEC6</paraID>
      <start xmlns="http://schemas.wps.cn/vas-ai-hub/contract-review">265</start>
      <end xmlns="http://schemas.wps.cn/vas-ai-hub/contract-review">272</end>
      <status xmlns="http://schemas.wps.cn/vas-ai-hub/contract-review">modified</status>
      <modifiedWord xmlns="http://schemas.wps.cn/vas-ai-hub/contract-review">现代化经济体系</modifiedWord>
      <trackRevisions xmlns="http://schemas.wps.cn/vas-ai-hub/contract-review">false</trackRevisions>
    </reviewItem>
    <reviewItem xmlns="http://schemas.wps.cn/vas-ai-hub/contract-review">
      <errorID xmlns="http://schemas.wps.cn/vas-ai-hub/contract-review">ea40bd7e-bf3d-4567-ac6a-3dccc317054a</errorID>
      <errorWord xmlns="http://schemas.wps.cn/vas-ai-hub/contract-review">重大战略机遇期</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重要战略机遇期</item>
      </candidateList>
      <explain xmlns="http://schemas.wps.cn/vas-ai-hub/contract-review">词汇“重要战略机遇期”在特定场景下为固定表述形式，请确认此处的“重大战略机遇期”是否存在不当。</explain>
      <paraID xmlns="http://schemas.wps.cn/vas-ai-hub/contract-review">782B57B8</paraID>
      <start xmlns="http://schemas.wps.cn/vas-ai-hub/contract-review">2</start>
      <end xmlns="http://schemas.wps.cn/vas-ai-hub/contract-review">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22b73926-0f88-4fca-93e6-9fb46f49a420</errorID>
      <errorWord xmlns="http://schemas.wps.cn/vas-ai-hub/contract-review">晃牛</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黄牛</item>
      </candidateList>
      <explain xmlns="http://schemas.wps.cn/vas-ai-hub/contract-review"/>
      <paraID xmlns="http://schemas.wps.cn/vas-ai-hub/contract-review">31D12D39</paraID>
      <start xmlns="http://schemas.wps.cn/vas-ai-hub/contract-review">254</start>
      <end xmlns="http://schemas.wps.cn/vas-ai-hub/contract-review">256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82ec5242-bcaf-43ce-9cf4-c2157366044b</errorID>
      <errorWord xmlns="http://schemas.wps.cn/vas-ai-hub/contract-review">获得感、幸福感和安全感</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获得感、幸福感、安全感</item>
      </candidateList>
      <explain xmlns="http://schemas.wps.cn/vas-ai-hub/contract-review">词汇“获得感、幸福感、安全感”在特定场景下为固定表述形式，请确认此处的“获得感、幸福感和安全感”是否存在不当。</explain>
      <paraID xmlns="http://schemas.wps.cn/vas-ai-hub/contract-review">40C0B574</paraID>
      <start xmlns="http://schemas.wps.cn/vas-ai-hub/contract-review">118</start>
      <end xmlns="http://schemas.wps.cn/vas-ai-hub/contract-review">129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d83bdbe9-0df3-4daa-9d32-1b2cc38b8ec1</errorID>
      <errorWord xmlns="http://schemas.wps.cn/vas-ai-hub/contract-review">、和</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和</item>
      </candidateList>
      <explain xmlns="http://schemas.wps.cn/vas-ai-hub/contract-review">“及”“和”“等”连词前不宜使用顿号，建议删除（或使用逗号）。</explain>
      <paraID xmlns="http://schemas.wps.cn/vas-ai-hub/contract-review">5877CAAD</paraID>
      <start xmlns="http://schemas.wps.cn/vas-ai-hub/contract-review">317</start>
      <end xmlns="http://schemas.wps.cn/vas-ai-hub/contract-review">319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a2a2f1ed-1d67-4636-949a-3ee5c3bf6da7</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2AED8094</paraID>
      <start xmlns="http://schemas.wps.cn/vas-ai-hub/contract-review">12</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fc0af514-facc-42f7-b12c-006bf6ac535e</errorID>
      <errorWord xmlns="http://schemas.wps.cn/vas-ai-hub/contract-review">成渝双城经济圈</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成渝地区双城经济圈</item>
      </candidateList>
      <explain xmlns="http://schemas.wps.cn/vas-ai-hub/contract-review">词汇“成渝地区双城经济圈”在特定场景下为固定表述形式，请确认此处的“成渝双城经济圈”是否存在不当。</explain>
      <paraID xmlns="http://schemas.wps.cn/vas-ai-hub/contract-review">78022A82</paraID>
      <start xmlns="http://schemas.wps.cn/vas-ai-hub/contract-review">105</start>
      <end xmlns="http://schemas.wps.cn/vas-ai-hub/contract-review">114</end>
      <status xmlns="http://schemas.wps.cn/vas-ai-hub/contract-review">modified</status>
      <modifiedWord xmlns="http://schemas.wps.cn/vas-ai-hub/contract-review">成渝地区双城经济圈</modifiedWord>
      <trackRevisions xmlns="http://schemas.wps.cn/vas-ai-hub/contract-review">false</trackRevisions>
    </reviewItem>
    <reviewItem xmlns="http://schemas.wps.cn/vas-ai-hub/contract-review">
      <errorID xmlns="http://schemas.wps.cn/vas-ai-hub/contract-review">61528b16-53f3-4f52-b7a8-d2abaa3ac6aa</errorID>
      <errorWord xmlns="http://schemas.wps.cn/vas-ai-hub/contract-review">二零三五年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二〇三五年</item>
      </candidateList>
      <explain xmlns="http://schemas.wps.cn/vas-ai-hub/contract-review"/>
      <paraID xmlns="http://schemas.wps.cn/vas-ai-hub/contract-review">1B3F0A99</paraID>
      <start xmlns="http://schemas.wps.cn/vas-ai-hub/contract-review">12</start>
      <end xmlns="http://schemas.wps.cn/vas-ai-hub/contract-review">17</end>
      <status xmlns="http://schemas.wps.cn/vas-ai-hub/contract-review">modified</status>
      <modifiedWord xmlns="http://schemas.wps.cn/vas-ai-hub/contract-review">二〇三五年</modifiedWord>
      <trackRevisions xmlns="http://schemas.wps.cn/vas-ai-hub/contract-review">false</trackRevisions>
    </reviewItem>
    <reviewItem xmlns="http://schemas.wps.cn/vas-ai-hub/contract-review">
      <errorID xmlns="http://schemas.wps.cn/vas-ai-hub/contract-review">47f9ddd7-076c-408d-aada-9dfb0ae93770</errorID>
      <errorWord xmlns="http://schemas.wps.cn/vas-ai-hub/contract-review">成渝双城经济圈</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成渝地区双城经济圈</item>
      </candidateList>
      <explain xmlns="http://schemas.wps.cn/vas-ai-hub/contract-review">词汇“成渝地区双城经济圈”在特定场景下为固定表述形式，请确认此处的“成渝双城经济圈”是否存在不当。</explain>
      <paraID xmlns="http://schemas.wps.cn/vas-ai-hub/contract-review">5B55C4FF</paraID>
      <start xmlns="http://schemas.wps.cn/vas-ai-hub/contract-review">279</start>
      <end xmlns="http://schemas.wps.cn/vas-ai-hub/contract-review">288</end>
      <status xmlns="http://schemas.wps.cn/vas-ai-hub/contract-review">modified</status>
      <modifiedWord xmlns="http://schemas.wps.cn/vas-ai-hub/contract-review">成渝地区双城经济圈</modifiedWord>
      <trackRevisions xmlns="http://schemas.wps.cn/vas-ai-hub/contract-review">false</trackRevisions>
    </reviewItem>
    <reviewItem xmlns="http://schemas.wps.cn/vas-ai-hub/contract-review">
      <errorID xmlns="http://schemas.wps.cn/vas-ai-hub/contract-review">5693cf64-8bad-4de4-a73b-480a1b6ce02d</errorID>
      <errorWord xmlns="http://schemas.wps.cn/vas-ai-hub/contract-review">作好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做好</item>
      </candidateList>
      <explain xmlns="http://schemas.wps.cn/vas-ai-hub/contract-review"/>
      <paraID xmlns="http://schemas.wps.cn/vas-ai-hub/contract-review">704DBF0E</paraID>
      <start xmlns="http://schemas.wps.cn/vas-ai-hub/contract-review">109</start>
      <end xmlns="http://schemas.wps.cn/vas-ai-hub/contract-review">111</end>
      <status xmlns="http://schemas.wps.cn/vas-ai-hub/contract-review">modified</status>
      <modifiedWord xmlns="http://schemas.wps.cn/vas-ai-hub/contract-review">做好</modifiedWord>
      <trackRevisions xmlns="http://schemas.wps.cn/vas-ai-hub/contract-review">false</trackRevisions>
    </reviewItem>
    <reviewItem xmlns="http://schemas.wps.cn/vas-ai-hub/contract-review">
      <errorID xmlns="http://schemas.wps.cn/vas-ai-hub/contract-review">34de5c88-3f99-4985-8352-8b60da298636</errorID>
      <errorWord xmlns="http://schemas.wps.cn/vas-ai-hub/contract-review">核心关键技术</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关键核心技术</item>
      </candidateList>
      <explain xmlns="http://schemas.wps.cn/vas-ai-hub/contract-review"/>
      <paraID xmlns="http://schemas.wps.cn/vas-ai-hub/contract-review">704DBF0E</paraID>
      <start xmlns="http://schemas.wps.cn/vas-ai-hub/contract-review">131</start>
      <end xmlns="http://schemas.wps.cn/vas-ai-hub/contract-review">137</end>
      <status xmlns="http://schemas.wps.cn/vas-ai-hub/contract-review">modified</status>
      <modifiedWord xmlns="http://schemas.wps.cn/vas-ai-hub/contract-review">关键核心技术</modifiedWord>
      <trackRevisions xmlns="http://schemas.wps.cn/vas-ai-hub/contract-review">false</trackRevisions>
    </reviewItem>
    <reviewItem xmlns="http://schemas.wps.cn/vas-ai-hub/contract-review">
      <errorID xmlns="http://schemas.wps.cn/vas-ai-hub/contract-review">e3b004e6-d857-4dc2-941a-eea11f357ccc</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20B7DC3A</paraID>
      <start xmlns="http://schemas.wps.cn/vas-ai-hub/contract-review">92</start>
      <end xmlns="http://schemas.wps.cn/vas-ai-hub/contract-review">95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730fa96a-6985-4340-ba14-d8a514f59c24</errorID>
      <errorWord xmlns="http://schemas.wps.cn/vas-ai-hub/contract-review">身行动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省行动</item>
      </candidateList>
      <explain xmlns="http://schemas.wps.cn/vas-ai-hub/contract-review"/>
      <paraID xmlns="http://schemas.wps.cn/vas-ai-hub/contract-review">50DACEBE</paraID>
      <start xmlns="http://schemas.wps.cn/vas-ai-hub/contract-review">16</start>
      <end xmlns="http://schemas.wps.cn/vas-ai-hub/contract-review">19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436f8e39-c8e2-483a-af0d-d317c3feab11</errorID>
      <errorWord xmlns="http://schemas.wps.cn/vas-ai-hub/contract-review">“专精特新”“小巨人”企业</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专精特新“小巨人”企业</item>
      </candidateList>
      <explain xmlns="http://schemas.wps.cn/vas-ai-hub/contract-review">注意检查当前固定表述标点是否使用规范。</explain>
      <paraID xmlns="http://schemas.wps.cn/vas-ai-hub/contract-review">50DACEBE</paraID>
      <start xmlns="http://schemas.wps.cn/vas-ai-hub/contract-review">50</start>
      <end xmlns="http://schemas.wps.cn/vas-ai-hub/contract-review">61</end>
      <status xmlns="http://schemas.wps.cn/vas-ai-hub/contract-review">modified</status>
      <modifiedWord xmlns="http://schemas.wps.cn/vas-ai-hub/contract-review">专精特新“小巨人”企业</modifiedWord>
      <trackRevisions xmlns="http://schemas.wps.cn/vas-ai-hub/contract-review">false</trackRevisions>
    </reviewItem>
    <reviewItem xmlns="http://schemas.wps.cn/vas-ai-hub/contract-review">
      <errorID xmlns="http://schemas.wps.cn/vas-ai-hub/contract-review">384eb8be-ab2b-488a-a958-9239340e0463</errorID>
      <errorWord xmlns="http://schemas.wps.cn/vas-ai-hub/contract-review">行政处罚裁量权基准</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行政处罚裁量基准</item>
      </candidateList>
      <explain xmlns="http://schemas.wps.cn/vas-ai-hub/contract-review">词汇“行政处罚裁量基准”在特定场景下为固定表述形式，请确认此处的“行政处罚裁量权基准”是否存在不当。</explain>
      <paraID xmlns="http://schemas.wps.cn/vas-ai-hub/contract-review">469A48CC</paraID>
      <start xmlns="http://schemas.wps.cn/vas-ai-hub/contract-review">231</start>
      <end xmlns="http://schemas.wps.cn/vas-ai-hub/contract-review">239</end>
      <status xmlns="http://schemas.wps.cn/vas-ai-hub/contract-review">modified</status>
      <modifiedWord xmlns="http://schemas.wps.cn/vas-ai-hub/contract-review">行政处罚裁量基准</modifiedWord>
      <trackRevisions xmlns="http://schemas.wps.cn/vas-ai-hub/contract-review">false</trackRevisions>
    </reviewItem>
    <reviewItem xmlns="http://schemas.wps.cn/vas-ai-hub/contract-review">
      <errorID xmlns="http://schemas.wps.cn/vas-ai-hub/contract-review">775e071c-7c5d-42a2-8790-3e749c2f95b7</errorID>
      <errorWord xmlns="http://schemas.wps.cn/vas-ai-hub/contract-review">主特产业</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主导产业</item>
      </candidateList>
      <explain xmlns="http://schemas.wps.cn/vas-ai-hub/contract-review"/>
      <paraID xmlns="http://schemas.wps.cn/vas-ai-hub/contract-review">776362A2</paraID>
      <start xmlns="http://schemas.wps.cn/vas-ai-hub/contract-review">75</start>
      <end xmlns="http://schemas.wps.cn/vas-ai-hub/contract-review">79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ff0906b1-bc20-47ee-99fb-17cb032e1bb8</errorID>
      <errorWord xmlns="http://schemas.wps.cn/vas-ai-hub/contract-review">特质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特色</item>
      </candidateList>
      <explain xmlns="http://schemas.wps.cn/vas-ai-hub/contract-review">〈名〉事物所表现的独特的色彩、风格等：民族～｜艺术～｜他们的表演各有～。</explain>
      <paraID xmlns="http://schemas.wps.cn/vas-ai-hub/contract-review">776362A2</paraID>
      <start xmlns="http://schemas.wps.cn/vas-ai-hub/contract-review">178</start>
      <end xmlns="http://schemas.wps.cn/vas-ai-hub/contract-review">180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51392e1d-5a23-4ede-bf15-913598f1319e</errorID>
      <errorWord xmlns="http://schemas.wps.cn/vas-ai-hub/contract-review">成渝双城经济圈</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成渝地区双城经济圈</item>
      </candidateList>
      <explain xmlns="http://schemas.wps.cn/vas-ai-hub/contract-review">词汇“成渝地区双城经济圈”在特定场景下为固定表述形式，请确认此处的“成渝双城经济圈”是否存在不当。</explain>
      <paraID xmlns="http://schemas.wps.cn/vas-ai-hub/contract-review">70090522</paraID>
      <start xmlns="http://schemas.wps.cn/vas-ai-hub/contract-review">117</start>
      <end xmlns="http://schemas.wps.cn/vas-ai-hub/contract-review">126</end>
      <status xmlns="http://schemas.wps.cn/vas-ai-hub/contract-review">modified</status>
      <modifiedWord xmlns="http://schemas.wps.cn/vas-ai-hub/contract-review">成渝地区双城经济圈</modifiedWord>
      <trackRevisions xmlns="http://schemas.wps.cn/vas-ai-hub/contract-review">false</trackRevisions>
    </reviewItem>
    <reviewItem xmlns="http://schemas.wps.cn/vas-ai-hub/contract-review">
      <errorID xmlns="http://schemas.wps.cn/vas-ai-hub/contract-review">75a74e35-56f6-41a9-9ec5-7b4af53a14bf</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70090522</paraID>
      <start xmlns="http://schemas.wps.cn/vas-ai-hub/contract-review">256</start>
      <end xmlns="http://schemas.wps.cn/vas-ai-hub/contract-review">259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94ecd897-32bc-45b0-ba9a-8f6af50f2348</errorID>
      <errorWord xmlns="http://schemas.wps.cn/vas-ai-hub/contract-review">矿业集群</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产业集群</item>
      </candidateList>
      <explain xmlns="http://schemas.wps.cn/vas-ai-hub/contract-review"/>
      <paraID xmlns="http://schemas.wps.cn/vas-ai-hub/contract-review">6F32F70C</paraID>
      <start xmlns="http://schemas.wps.cn/vas-ai-hub/contract-review">16</start>
      <end xmlns="http://schemas.wps.cn/vas-ai-hub/contract-review">20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ff02f7fe-0398-4f29-8ce0-6e5586c97530</errorID>
      <errorWord xmlns="http://schemas.wps.cn/vas-ai-hub/contract-review">晃牛</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黄牛</item>
      </candidateList>
      <explain xmlns="http://schemas.wps.cn/vas-ai-hub/contract-review"/>
      <paraID xmlns="http://schemas.wps.cn/vas-ai-hub/contract-review">7C521237</paraID>
      <start xmlns="http://schemas.wps.cn/vas-ai-hub/contract-review">459</start>
      <end xmlns="http://schemas.wps.cn/vas-ai-hub/contract-review">461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0c1a1b8a-f367-460e-b24a-9fd679224219</errorID>
      <errorWord xmlns="http://schemas.wps.cn/vas-ai-hub/contract-review">人民群众日益增长的美好生活需要</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人民日益增长的美好生活需要</item>
      </candidateList>
      <explain xmlns="http://schemas.wps.cn/vas-ai-hub/contract-review"/>
      <paraID xmlns="http://schemas.wps.cn/vas-ai-hub/contract-review"> DE08D99</paraID>
      <start xmlns="http://schemas.wps.cn/vas-ai-hub/contract-review">51</start>
      <end xmlns="http://schemas.wps.cn/vas-ai-hub/contract-review">66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f2f54de9-e00a-4b38-902f-59c133739d68</errorID>
      <errorWord xmlns="http://schemas.wps.cn/vas-ai-hub/contract-review">加工产</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加工厂</item>
      </candidateList>
      <explain xmlns="http://schemas.wps.cn/vas-ai-hub/contract-review"/>
      <paraID xmlns="http://schemas.wps.cn/vas-ai-hub/contract-review"> BAE3EB7</paraID>
      <start xmlns="http://schemas.wps.cn/vas-ai-hub/contract-review">152</start>
      <end xmlns="http://schemas.wps.cn/vas-ai-hub/contract-review">155</end>
      <status xmlns="http://schemas.wps.cn/vas-ai-hub/contract-review">modified</status>
      <modifiedWord xmlns="http://schemas.wps.cn/vas-ai-hub/contract-review">加工厂</modifiedWord>
      <trackRevisions xmlns="http://schemas.wps.cn/vas-ai-hub/contract-review">false</trackRevisions>
    </reviewItem>
    <reviewItem xmlns="http://schemas.wps.cn/vas-ai-hub/contract-review">
      <errorID xmlns="http://schemas.wps.cn/vas-ai-hub/contract-review">7cb9a64c-becd-447d-961a-df949f8d2bb1</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4393B9DA</paraID>
      <start xmlns="http://schemas.wps.cn/vas-ai-hub/contract-review">45</start>
      <end xmlns="http://schemas.wps.cn/vas-ai-hub/contract-review">46</end>
      <status xmlns="http://schemas.wps.cn/vas-ai-hub/contract-review">modified</status>
      <modifiedWord xmlns="http://schemas.wps.cn/vas-ai-hub/contract-review">地</modifiedWord>
      <trackRevisions xmlns="http://schemas.wps.cn/vas-ai-hub/contract-review">false</trackRevisions>
    </reviewItem>
    <reviewItem xmlns="http://schemas.wps.cn/vas-ai-hub/contract-review">
      <errorID xmlns="http://schemas.wps.cn/vas-ai-hub/contract-review">db5fa019-9d09-4ae0-bed4-2d10edea1cfa</errorID>
      <errorWord xmlns="http://schemas.wps.cn/vas-ai-hub/contract-review">抓收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抓手</item>
      </candidateList>
      <explain xmlns="http://schemas.wps.cn/vas-ai-hub/contract-review"/>
      <paraID xmlns="http://schemas.wps.cn/vas-ai-hub/contract-review">72DAB6BA</paraID>
      <start xmlns="http://schemas.wps.cn/vas-ai-hub/contract-review">57</start>
      <end xmlns="http://schemas.wps.cn/vas-ai-hub/contract-review">59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ccdbff08-4a4e-4d9b-a9a5-1c7b23306fe9</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 BE3CE96</paraID>
      <start xmlns="http://schemas.wps.cn/vas-ai-hub/contract-review">72</start>
      <end xmlns="http://schemas.wps.cn/vas-ai-hub/contract-review">73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a115697b-dcdf-417c-999b-9280149eaf04</errorID>
      <errorWord xmlns="http://schemas.wps.cn/vas-ai-hub/contract-review">提升的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提升</item>
      </candidateList>
      <explain xmlns="http://schemas.wps.cn/vas-ai-hub/contract-review"/>
      <paraID xmlns="http://schemas.wps.cn/vas-ai-hub/contract-review">234CAE9B</paraID>
      <start xmlns="http://schemas.wps.cn/vas-ai-hub/contract-review">30</start>
      <end xmlns="http://schemas.wps.cn/vas-ai-hub/contract-review">32</end>
      <status xmlns="http://schemas.wps.cn/vas-ai-hub/contract-review">modified</status>
      <modifiedWord xmlns="http://schemas.wps.cn/vas-ai-hub/contract-review">提升</modifiedWord>
      <trackRevisions xmlns="http://schemas.wps.cn/vas-ai-hub/contract-review">false</trackRevisions>
    </reviewItem>
    <reviewItem xmlns="http://schemas.wps.cn/vas-ai-hub/contract-review">
      <errorID xmlns="http://schemas.wps.cn/vas-ai-hub/contract-review">61b28938-9f4e-4ed0-a817-1140b9d07e1c</errorID>
      <errorWord xmlns="http://schemas.wps.cn/vas-ai-hub/contract-review">城乡结合部</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城乡接合部</item>
      </candidateList>
      <explain xmlns="http://schemas.wps.cn/vas-ai-hub/contract-review"/>
      <paraID xmlns="http://schemas.wps.cn/vas-ai-hub/contract-review">16298D3C</paraID>
      <start xmlns="http://schemas.wps.cn/vas-ai-hub/contract-review">102</start>
      <end xmlns="http://schemas.wps.cn/vas-ai-hub/contract-review">107</end>
      <status xmlns="http://schemas.wps.cn/vas-ai-hub/contract-review">modified</status>
      <modifiedWord xmlns="http://schemas.wps.cn/vas-ai-hub/contract-review">城乡接合部</modifiedWord>
      <trackRevisions xmlns="http://schemas.wps.cn/vas-ai-hub/contract-review">false</trackRevisions>
    </reviewItem>
    <reviewItem xmlns="http://schemas.wps.cn/vas-ai-hub/contract-review">
      <errorID xmlns="http://schemas.wps.cn/vas-ai-hub/contract-review">8b63891e-7202-4597-bea7-8535ab873071</errorID>
      <errorWord xmlns="http://schemas.wps.cn/vas-ai-hub/contract-review">留着</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留住</item>
      </candidateList>
      <explain xmlns="http://schemas.wps.cn/vas-ai-hub/contract-review">存在发音相近字词的误用。</explain>
      <paraID xmlns="http://schemas.wps.cn/vas-ai-hub/contract-review">4BE0BB5E</paraID>
      <start xmlns="http://schemas.wps.cn/vas-ai-hub/contract-review">112</start>
      <end xmlns="http://schemas.wps.cn/vas-ai-hub/contract-review">114</end>
      <status xmlns="http://schemas.wps.cn/vas-ai-hub/contract-review">modified</status>
      <modifiedWord xmlns="http://schemas.wps.cn/vas-ai-hub/contract-review">留住</modifiedWord>
      <trackRevisions xmlns="http://schemas.wps.cn/vas-ai-hub/contract-review">false</trackRevisions>
    </reviewItem>
    <reviewItem xmlns="http://schemas.wps.cn/vas-ai-hub/contract-review">
      <errorID xmlns="http://schemas.wps.cn/vas-ai-hub/contract-review">2e3a9947-0aa5-45bc-b443-bb92cd31b9d8</errorID>
      <errorWord xmlns="http://schemas.wps.cn/vas-ai-hub/contract-review">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细化</item>
      </candidateList>
      <explain xmlns="http://schemas.wps.cn/vas-ai-hub/contract-review"/>
      <paraID xmlns="http://schemas.wps.cn/vas-ai-hub/contract-review">19B704EC</paraID>
      <start xmlns="http://schemas.wps.cn/vas-ai-hub/contract-review">5</start>
      <end xmlns="http://schemas.wps.cn/vas-ai-hub/contract-review">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346ec049-350c-407c-aced-cbd44b6897f4</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 637181E</paraID>
      <start xmlns="http://schemas.wps.cn/vas-ai-hub/contract-review">106</start>
      <end xmlns="http://schemas.wps.cn/vas-ai-hub/contract-review">109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4119e590-3bd4-463a-ac4d-0edcaa917496</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 C2B19D5</paraID>
      <start xmlns="http://schemas.wps.cn/vas-ai-hub/contract-review">204</start>
      <end xmlns="http://schemas.wps.cn/vas-ai-hub/contract-review">207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f94a3579-3b53-4625-a2cc-e54a18765940</errorID>
      <errorWord xmlns="http://schemas.wps.cn/vas-ai-hub/contract-review">轻手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轻</item>
      </candidateList>
      <explain xmlns="http://schemas.wps.cn/vas-ai-hub/contract-review"/>
      <paraID xmlns="http://schemas.wps.cn/vas-ai-hub/contract-review">79AE6996</paraID>
      <start xmlns="http://schemas.wps.cn/vas-ai-hub/contract-review">76</start>
      <end xmlns="http://schemas.wps.cn/vas-ai-hub/contract-review">78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851b04b7-b9c1-441d-83cc-2dd8f47c8cff</errorID>
      <errorWord xmlns="http://schemas.wps.cn/vas-ai-hub/contract-review">居民日益增长的美好生活需要</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人民日益增长的美好生活需要</item>
      </candidateList>
      <explain xmlns="http://schemas.wps.cn/vas-ai-hub/contract-review">词汇“人民日益增长的美好生活需要”在特定场景下为固定表述形式，请确认此处的“居民日益增长的美好生活需要”是否存在不当。</explain>
      <paraID xmlns="http://schemas.wps.cn/vas-ai-hub/contract-review">6593B291</paraID>
      <start xmlns="http://schemas.wps.cn/vas-ai-hub/contract-review">13</start>
      <end xmlns="http://schemas.wps.cn/vas-ai-hub/contract-review">26</end>
      <status xmlns="http://schemas.wps.cn/vas-ai-hub/contract-review">modified</status>
      <modifiedWord xmlns="http://schemas.wps.cn/vas-ai-hub/contract-review">人民日益增长的美好生活需要</modifiedWord>
      <trackRevisions xmlns="http://schemas.wps.cn/vas-ai-hub/contract-review">false</trackRevisions>
    </reviewItem>
    <reviewItem xmlns="http://schemas.wps.cn/vas-ai-hub/contract-review">
      <errorID xmlns="http://schemas.wps.cn/vas-ai-hub/contract-review">db691058-747b-4b5f-ade3-60fba17fe206</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6593B291</paraID>
      <start xmlns="http://schemas.wps.cn/vas-ai-hub/contract-review">244</start>
      <end xmlns="http://schemas.wps.cn/vas-ai-hub/contract-review">246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780b911e-f8f0-46a0-ac27-3f66bfb165d7</errorID>
      <errorWord xmlns="http://schemas.wps.cn/vas-ai-hub/contract-review">即食性</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即时性</item>
      </candidateList>
      <explain xmlns="http://schemas.wps.cn/vas-ai-hub/contract-review"/>
      <paraID xmlns="http://schemas.wps.cn/vas-ai-hub/contract-review">  510350</paraID>
      <start xmlns="http://schemas.wps.cn/vas-ai-hub/contract-review">111</start>
      <end xmlns="http://schemas.wps.cn/vas-ai-hub/contract-review">114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b8d2192c-c8f2-4eb8-8007-49d4b39d5571</errorID>
      <errorWord xmlns="http://schemas.wps.cn/vas-ai-hub/contract-review">组组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组</item>
      </candidateList>
      <explain xmlns="http://schemas.wps.cn/vas-ai-hub/contract-review"/>
      <paraID xmlns="http://schemas.wps.cn/vas-ai-hub/contract-review">32A38C47</paraID>
      <start xmlns="http://schemas.wps.cn/vas-ai-hub/contract-review">133</start>
      <end xmlns="http://schemas.wps.cn/vas-ai-hub/contract-review">135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8e7c48f2-4454-46a9-9e70-eff06232fdb4</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3AB2DA22</paraID>
      <start xmlns="http://schemas.wps.cn/vas-ai-hub/contract-review">40</start>
      <end xmlns="http://schemas.wps.cn/vas-ai-hub/contract-review">43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17e0151f-3bb8-4efd-a32d-5d3692e022fc</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3E3E4678</paraID>
      <start xmlns="http://schemas.wps.cn/vas-ai-hub/contract-review">143</start>
      <end xmlns="http://schemas.wps.cn/vas-ai-hub/contract-review">146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7725fbbe-e16d-462a-ab34-eb3e9b3a34f8</errorID>
      <errorWord xmlns="http://schemas.wps.cn/vas-ai-hub/contract-review">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能产</item>
      </candidateList>
      <explain xmlns="http://schemas.wps.cn/vas-ai-hub/contract-review"/>
      <paraID xmlns="http://schemas.wps.cn/vas-ai-hub/contract-review">769E9FD6</paraID>
      <start xmlns="http://schemas.wps.cn/vas-ai-hub/contract-review">116</start>
      <end xmlns="http://schemas.wps.cn/vas-ai-hub/contract-review">118</end>
      <status xmlns="http://schemas.wps.cn/vas-ai-hub/contract-review">modified</status>
      <modifiedWord xmlns="http://schemas.wps.cn/vas-ai-hub/contract-review">能产</modifiedWord>
      <trackRevisions xmlns="http://schemas.wps.cn/vas-ai-hub/contract-review">false</trackRevisions>
    </reviewItem>
    <reviewItem xmlns="http://schemas.wps.cn/vas-ai-hub/contract-review">
      <errorID xmlns="http://schemas.wps.cn/vas-ai-hub/contract-review">786a2060-56ee-49bc-af46-68cdbd7fb0dd</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769E9FD6</paraID>
      <start xmlns="http://schemas.wps.cn/vas-ai-hub/contract-review">130</start>
      <end xmlns="http://schemas.wps.cn/vas-ai-hub/contract-review">133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e654b58a-1196-465f-aa40-95afdb8e2e6a</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71A78E33</paraID>
      <start xmlns="http://schemas.wps.cn/vas-ai-hub/contract-review">46</start>
      <end xmlns="http://schemas.wps.cn/vas-ai-hub/contract-review">49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b34f3415-eb79-42ff-8d06-d0621c8c56c7</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71A78E33</paraID>
      <start xmlns="http://schemas.wps.cn/vas-ai-hub/contract-review">158</start>
      <end xmlns="http://schemas.wps.cn/vas-ai-hub/contract-review">161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e51a912d-ace8-4fba-95da-0a1214cf7bc8</errorID>
      <errorWord xmlns="http://schemas.wps.cn/vas-ai-hub/contract-review">“急难愁盼”问题</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急难愁盼问题</item>
      </candidateList>
      <explain xmlns="http://schemas.wps.cn/vas-ai-hub/contract-review">注意检查当前固定表述标点是否使用规范。</explain>
      <paraID xmlns="http://schemas.wps.cn/vas-ai-hub/contract-review">66473FF5</paraID>
      <start xmlns="http://schemas.wps.cn/vas-ai-hub/contract-review">37</start>
      <end xmlns="http://schemas.wps.cn/vas-ai-hub/contract-review">43</end>
      <status xmlns="http://schemas.wps.cn/vas-ai-hub/contract-review">modified</status>
      <modifiedWord xmlns="http://schemas.wps.cn/vas-ai-hub/contract-review">急难愁盼问题</modifiedWord>
      <trackRevisions xmlns="http://schemas.wps.cn/vas-ai-hub/contract-review">false</trackRevisions>
    </reviewItem>
    <reviewItem xmlns="http://schemas.wps.cn/vas-ai-hub/contract-review">
      <errorID xmlns="http://schemas.wps.cn/vas-ai-hub/contract-review">be41a02e-f4b0-4a21-bec4-d24a54446aab</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 826B530</paraID>
      <start xmlns="http://schemas.wps.cn/vas-ai-hub/contract-review">104</start>
      <end xmlns="http://schemas.wps.cn/vas-ai-hub/contract-review">105</end>
      <status xmlns="http://schemas.wps.cn/vas-ai-hub/contract-review">modified</status>
      <modifiedWord xmlns="http://schemas.wps.cn/vas-ai-hub/contract-review">地</modifiedWord>
      <trackRevisions xmlns="http://schemas.wps.cn/vas-ai-hub/contract-review">false</trackRevisions>
    </reviewItem>
    <reviewItem xmlns="http://schemas.wps.cn/vas-ai-hub/contract-review">
      <errorID xmlns="http://schemas.wps.cn/vas-ai-hub/contract-review">4150d666-923c-4036-9d59-24836395c19a</errorID>
      <errorWord xmlns="http://schemas.wps.cn/vas-ai-hub/contract-review">城乡基本养老保险</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城乡居民基本养老保险</item>
      </candidateList>
      <explain xmlns="http://schemas.wps.cn/vas-ai-hub/contract-review"/>
      <paraID xmlns="http://schemas.wps.cn/vas-ai-hub/contract-review">60CA55A1</paraID>
      <start xmlns="http://schemas.wps.cn/vas-ai-hub/contract-review">83</start>
      <end xmlns="http://schemas.wps.cn/vas-ai-hub/contract-review">93</end>
      <status xmlns="http://schemas.wps.cn/vas-ai-hub/contract-review">modified</status>
      <modifiedWord xmlns="http://schemas.wps.cn/vas-ai-hub/contract-review">城乡居民基本养老保险</modifiedWord>
      <trackRevisions xmlns="http://schemas.wps.cn/vas-ai-hub/contract-review">false</trackRevisions>
    </reviewItem>
    <reviewItem xmlns="http://schemas.wps.cn/vas-ai-hub/contract-review">
      <errorID xmlns="http://schemas.wps.cn/vas-ai-hub/contract-review">78b5145d-d09a-4908-842e-bce31d85b85c</errorID>
      <errorWord xmlns="http://schemas.wps.cn/vas-ai-hub/contract-review">校院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校园</item>
      </candidateList>
      <explain xmlns="http://schemas.wps.cn/vas-ai-hub/contract-review"/>
      <paraID xmlns="http://schemas.wps.cn/vas-ai-hub/contract-review">699E3F81</paraID>
      <start xmlns="http://schemas.wps.cn/vas-ai-hub/contract-review">55</start>
      <end xmlns="http://schemas.wps.cn/vas-ai-hub/contract-review">57</end>
      <status xmlns="http://schemas.wps.cn/vas-ai-hub/contract-review">modified</status>
      <modifiedWord xmlns="http://schemas.wps.cn/vas-ai-hub/contract-review">校园</modifiedWord>
      <trackRevisions xmlns="http://schemas.wps.cn/vas-ai-hub/contract-review">false</trackRevisions>
    </reviewItem>
    <reviewItem xmlns="http://schemas.wps.cn/vas-ai-hub/contract-review">
      <errorID xmlns="http://schemas.wps.cn/vas-ai-hub/contract-review">4380fea3-bbe1-4eb8-a57c-d6f7c72674a9</errorID>
      <errorWord xmlns="http://schemas.wps.cn/vas-ai-hub/contract-review">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构为</item>
      </candidateList>
      <explain xmlns="http://schemas.wps.cn/vas-ai-hub/contract-review"/>
      <paraID xmlns="http://schemas.wps.cn/vas-ai-hub/contract-review">28F70B9B</paraID>
      <start xmlns="http://schemas.wps.cn/vas-ai-hub/contract-review">129</start>
      <end xmlns="http://schemas.wps.cn/vas-ai-hub/contract-review">130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a32a1110-e874-4cb9-a58a-2f29ccac55be</errorID>
      <errorWord xmlns="http://schemas.wps.cn/vas-ai-hub/contract-review">文艺艺术作品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文学艺术作品</item>
      </candidateList>
      <explain xmlns="http://schemas.wps.cn/vas-ai-hub/contract-review"/>
      <paraID xmlns="http://schemas.wps.cn/vas-ai-hub/contract-review">53525F61</paraID>
      <start xmlns="http://schemas.wps.cn/vas-ai-hub/contract-review">47</start>
      <end xmlns="http://schemas.wps.cn/vas-ai-hub/contract-review">53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435a3952-73e8-4c19-93ed-600c8c00708e</errorID>
      <errorWord xmlns="http://schemas.wps.cn/vas-ai-hub/contract-review">低质低效林改造</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低产低效林改造</item>
      </candidateList>
      <explain xmlns="http://schemas.wps.cn/vas-ai-hub/contract-review">词汇“低产低效林改造”在特定场景下为固定表述形式，请确认此处的“低质低效林改造”是否存在不当。</explain>
      <paraID xmlns="http://schemas.wps.cn/vas-ai-hub/contract-review">5E177E46</paraID>
      <start xmlns="http://schemas.wps.cn/vas-ai-hub/contract-review">192</start>
      <end xmlns="http://schemas.wps.cn/vas-ai-hub/contract-review">199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efdcefa0-55f2-4791-a132-52775cfdb871</errorID>
      <errorWord xmlns="http://schemas.wps.cn/vas-ai-hub/contract-review">战役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战</item>
      </candidateList>
      <explain xmlns="http://schemas.wps.cn/vas-ai-hub/contract-review"/>
      <paraID xmlns="http://schemas.wps.cn/vas-ai-hub/contract-review">4D04FD5B</paraID>
      <start xmlns="http://schemas.wps.cn/vas-ai-hub/contract-review">8</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ea102a2c-318f-4f79-aaed-fc57f0d7bd79</errorID>
      <errorWord xmlns="http://schemas.wps.cn/vas-ai-hub/contract-review">美乡村建设</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美丽乡村建设</item>
      </candidateList>
      <explain xmlns="http://schemas.wps.cn/vas-ai-hub/contract-review">词汇“美丽乡村建设”在特定场景下为固定表述形式，请确认此处的“美乡村建设”是否存在不当。</explain>
      <paraID xmlns="http://schemas.wps.cn/vas-ai-hub/contract-review">70D335A2</paraID>
      <start xmlns="http://schemas.wps.cn/vas-ai-hub/contract-review">13</start>
      <end xmlns="http://schemas.wps.cn/vas-ai-hub/contract-review">18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1a9233f4-3426-4524-976d-47390d682ca5</errorID>
      <errorWord xmlns="http://schemas.wps.cn/vas-ai-hub/contract-review">法制教育</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法治教育</item>
      </candidateList>
      <explain xmlns="http://schemas.wps.cn/vas-ai-hub/contract-review"/>
      <paraID xmlns="http://schemas.wps.cn/vas-ai-hub/contract-review"> 7A3FB32</paraID>
      <start xmlns="http://schemas.wps.cn/vas-ai-hub/contract-review">6</start>
      <end xmlns="http://schemas.wps.cn/vas-ai-hub/contract-review">10</end>
      <status xmlns="http://schemas.wps.cn/vas-ai-hub/contract-review">modified</status>
      <modifiedWord xmlns="http://schemas.wps.cn/vas-ai-hub/contract-review">法治教育</modifiedWord>
      <trackRevisions xmlns="http://schemas.wps.cn/vas-ai-hub/contract-review">false</trackRevisions>
    </reviewItem>
    <reviewItem xmlns="http://schemas.wps.cn/vas-ai-hub/contract-review">
      <errorID xmlns="http://schemas.wps.cn/vas-ai-hub/contract-review">83a27e6c-6739-4b4b-ba17-a8c6847448c5</errorID>
      <errorWord xmlns="http://schemas.wps.cn/vas-ai-hub/contract-review">行政化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行政</item>
      </candidateList>
      <explain xmlns="http://schemas.wps.cn/vas-ai-hub/contract-review"/>
      <paraID xmlns="http://schemas.wps.cn/vas-ai-hub/contract-review">6F106385</paraID>
      <start xmlns="http://schemas.wps.cn/vas-ai-hub/contract-review">107</start>
      <end xmlns="http://schemas.wps.cn/vas-ai-hub/contract-review">109</end>
      <status xmlns="http://schemas.wps.cn/vas-ai-hub/contract-review">modified</status>
      <modifiedWord xmlns="http://schemas.wps.cn/vas-ai-hub/contract-review">行政</modifiedWord>
      <trackRevisions xmlns="http://schemas.wps.cn/vas-ai-hub/contract-review">false</trackRevisions>
    </reviewItem>
    <reviewItem xmlns="http://schemas.wps.cn/vas-ai-hub/contract-review">
      <errorID xmlns="http://schemas.wps.cn/vas-ai-hub/contract-review">45509a8c-60b5-44be-82ae-6e4584f1c6d2</errorID>
      <errorWord xmlns="http://schemas.wps.cn/vas-ai-hub/contract-review">发展全过程民主</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发展全过程人民民主</item>
      </candidateList>
      <explain xmlns="http://schemas.wps.cn/vas-ai-hub/contract-review">词汇“发展全过程人民民主”在特定场景下为固定表述形式，请确认此处的“发展全过程民主”是否存在不当。</explain>
      <paraID xmlns="http://schemas.wps.cn/vas-ai-hub/contract-review">2FDF3F0A</paraID>
      <start xmlns="http://schemas.wps.cn/vas-ai-hub/contract-review">0</start>
      <end xmlns="http://schemas.wps.cn/vas-ai-hub/contract-review">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8093eb4c-c396-4bab-9d1f-460f48953cd0</errorID>
      <errorWord xmlns="http://schemas.wps.cn/vas-ai-hub/contract-review">资源节约和环境保护</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节约资源和保护环境</item>
      </candidateList>
      <explain xmlns="http://schemas.wps.cn/vas-ai-hub/contract-review">词汇“节约资源和保护环境”在特定场景下为固定表述形式，请确认此处的“资源节约和环境保护”是否存在不当。</explain>
      <paraID xmlns="http://schemas.wps.cn/vas-ai-hub/contract-review">7052E2FB</paraID>
      <start xmlns="http://schemas.wps.cn/vas-ai-hub/contract-review">168</start>
      <end xmlns="http://schemas.wps.cn/vas-ai-hub/contract-review">177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695b554a-f94b-4991-bf5d-0e03d558bf61</errorID>
      <errorWord xmlns="http://schemas.wps.cn/vas-ai-hub/contract-review">现代化产业新体系</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现代化产业体系</item>
      </candidateList>
      <explain xmlns="http://schemas.wps.cn/vas-ai-hub/contract-review">词汇“现代化产业体系”在特定场景下为固定表述形式，请确认此处的“现代化产业新体系”是否存在不当。</explain>
      <paraID xmlns="http://schemas.wps.cn/vas-ai-hub/contract-review">13B84234</paraID>
      <start xmlns="http://schemas.wps.cn/vas-ai-hub/contract-review">49</start>
      <end xmlns="http://schemas.wps.cn/vas-ai-hub/contract-review">57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4e0211d8-2acd-40f3-9ce0-613974b62dea</errorID>
      <errorWord xmlns="http://schemas.wps.cn/vas-ai-hub/contract-review">发展方式新转型</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发展方式绿色转型</item>
      </candidateList>
      <explain xmlns="http://schemas.wps.cn/vas-ai-hub/contract-review">词汇“发展方式绿色转型”在特定场景下为固定表述形式，请确认此处的“发展方式新转型”是否存在不当。</explain>
      <paraID xmlns="http://schemas.wps.cn/vas-ai-hub/contract-review">13B84234</paraID>
      <start xmlns="http://schemas.wps.cn/vas-ai-hub/contract-review">76</start>
      <end xmlns="http://schemas.wps.cn/vas-ai-hub/contract-review">83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461edffc-1573-46d8-9185-d65ee019dfc9</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342A8DCA</paraID>
      <start xmlns="http://schemas.wps.cn/vas-ai-hub/contract-review">12</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fca6079d-ec3d-4088-b3f8-9ab06454021b</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7214FD4D</paraID>
      <start xmlns="http://schemas.wps.cn/vas-ai-hub/contract-review">12</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edc99029-077e-4c24-8cd8-fb895c53e313</errorID>
      <errorWord xmlns="http://schemas.wps.cn/vas-ai-hub/contract-review">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等一</item>
      </candidateList>
      <explain xmlns="http://schemas.wps.cn/vas-ai-hub/contract-review"/>
      <paraID xmlns="http://schemas.wps.cn/vas-ai-hub/contract-review">22C76839</paraID>
      <start xmlns="http://schemas.wps.cn/vas-ai-hub/contract-review">35</start>
      <end xmlns="http://schemas.wps.cn/vas-ai-hub/contract-review">36</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3.xml><?xml version="1.0" encoding="utf-8"?>
<b:Sources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36AB03-074E-4857-B7C0-B5A7FCE393A9}">
  <ds:schemaRefs/>
</ds:datastoreItem>
</file>

<file path=customXml/itemProps3.xml><?xml version="1.0" encoding="utf-8"?>
<ds:datastoreItem xmlns:ds="http://schemas.openxmlformats.org/officeDocument/2006/customXml" ds:itemID="{2908660D-3B90-464E-B7F9-7AD631D2D2C9}">
  <ds:schemaRefs/>
</ds:datastoreItem>
</file>

<file path=docProps/app.xml><?xml version="1.0" encoding="utf-8"?>
<Properties xmlns="http://schemas.openxmlformats.org/officeDocument/2006/extended-properties" xmlns:vt="http://schemas.openxmlformats.org/officeDocument/2006/docPropsVTypes">
  <Template>Normal.dotm</Template>
  <Pages>115</Pages>
  <Words>33326</Words>
  <Characters>33661</Characters>
  <Lines>1602</Lines>
  <Paragraphs>858</Paragraphs>
  <TotalTime>7</TotalTime>
  <ScaleCrop>false</ScaleCrop>
  <LinksUpToDate>false</LinksUpToDate>
  <CharactersWithSpaces>66129</CharactersWithSpaces>
  <Application>WPS Office_12.8.2.1112_F1E327BC-269C-435d-A152-05C5408002CA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2025-12-20T15:43:00Z</dcterms:created>
  <dc:creator>10507</dc:creator>
  <cp:lastModifiedBy>xh</cp:lastModifiedBy>
  <cp:lastPrinted>2026-06-24T19:39:00Z</cp:lastPrinted>
  <dcterms:modified xsi:type="dcterms:W3CDTF">2026-10-13T15:30:55Z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2052-12.8.2.1112</vt:lpwstr>
  </property>
  <property fmtid="{D5CDD505-2E9C-101B-9397-08002B2CF9AE}" pid="3" name="ICV">
    <vt:lpwstr>93B171D84E3B6A192FDECD6ABA844FD9_43</vt:lpwstr>
  </property>
  <property fmtid="{D5CDD505-2E9C-101B-9397-08002B2CF9AE}" pid="4" name="KSOTemplateDocerSaveRecord">
    <vt:lpwstr>eyJoZGlkIjoiOGMwYWQ0YTA5ZjQ5NmZlNjlhNGRiMjM0YWI3NjgyY2EiLCJ1c2VySWQiOiIzNzA0NjI4MDQifQ==</vt:lpwstr>
  </property>
</Properties>
</file>