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92B80">
      <w:pPr>
        <w:snapToGrid w:val="0"/>
        <w:jc w:val="center"/>
        <w:rPr>
          <w:rFonts w:hint="eastAsia" w:ascii="方正小标宋简体" w:eastAsia="方正小标宋简体"/>
          <w:sz w:val="44"/>
          <w:szCs w:val="44"/>
        </w:rPr>
      </w:pPr>
      <w:r>
        <w:rPr>
          <w:rFonts w:hint="eastAsia" w:ascii="方正小标宋简体" w:eastAsia="方正小标宋简体"/>
          <w:sz w:val="44"/>
          <w:szCs w:val="44"/>
        </w:rPr>
        <w:t>《新晃侗族自治县国土空间总体规划（2021-2035年）》2026年度动态维护方案成果草案（公示稿）</w:t>
      </w:r>
    </w:p>
    <w:p w14:paraId="13A49BA1">
      <w:pPr>
        <w:rPr>
          <w:rFonts w:hint="eastAsia"/>
        </w:rPr>
      </w:pPr>
    </w:p>
    <w:p w14:paraId="440B997F">
      <w:pPr>
        <w:rPr>
          <w:rFonts w:hint="eastAsia"/>
        </w:rPr>
      </w:pPr>
    </w:p>
    <w:p w14:paraId="54852EC5">
      <w:pPr>
        <w:rPr>
          <w:rFonts w:hint="eastAsia"/>
        </w:rPr>
      </w:pPr>
    </w:p>
    <w:p w14:paraId="1A1EBEFB">
      <w:pPr>
        <w:ind w:firstLine="640" w:firstLineChars="200"/>
        <w:rPr>
          <w:rFonts w:hint="eastAsia" w:ascii="仿宋_GB2312" w:eastAsia="仿宋_GB2312"/>
          <w:sz w:val="32"/>
          <w:szCs w:val="32"/>
        </w:rPr>
      </w:pPr>
      <w:r>
        <w:rPr>
          <w:rFonts w:hint="eastAsia" w:ascii="仿宋_GB2312" w:eastAsia="仿宋_GB2312"/>
          <w:sz w:val="32"/>
          <w:szCs w:val="32"/>
        </w:rPr>
        <w:t>为深入贯彻党的二十届四中全会、省委十二届九次全会精神，充分发挥国土空间规划基础作用，为“十五五”发展规划实施提供空间保障，根据自然资源部统一部署和省级工作要求，我县特组织开展《新晃侗族自治县国土空间总体规划（2021-2035年）》2026年度动态维护方案工作。现将动态维护方案成果草案予以公示，公示期为2026年8月</w:t>
      </w:r>
      <w:r>
        <w:rPr>
          <w:rFonts w:hint="eastAsia" w:ascii="仿宋_GB2312" w:eastAsia="仿宋_GB2312"/>
          <w:sz w:val="32"/>
          <w:szCs w:val="32"/>
          <w:lang w:val="en-US" w:eastAsia="zh-CN"/>
        </w:rPr>
        <w:t>6</w:t>
      </w:r>
      <w:r>
        <w:rPr>
          <w:rFonts w:hint="eastAsia" w:ascii="仿宋_GB2312" w:eastAsia="仿宋_GB2312"/>
          <w:sz w:val="32"/>
          <w:szCs w:val="32"/>
        </w:rPr>
        <w:t>日—8月</w:t>
      </w:r>
      <w:r>
        <w:rPr>
          <w:rFonts w:hint="eastAsia" w:ascii="仿宋_GB2312" w:eastAsia="仿宋_GB2312"/>
          <w:sz w:val="32"/>
          <w:szCs w:val="32"/>
          <w:lang w:val="en-US" w:eastAsia="zh-CN"/>
        </w:rPr>
        <w:t>14</w:t>
      </w:r>
      <w:r>
        <w:rPr>
          <w:rFonts w:hint="eastAsia" w:ascii="仿宋_GB2312" w:eastAsia="仿宋_GB2312"/>
          <w:sz w:val="32"/>
          <w:szCs w:val="32"/>
        </w:rPr>
        <w:t>日（7个工作日），广泛征求意见建议。</w:t>
      </w:r>
    </w:p>
    <w:p w14:paraId="28916426">
      <w:pPr>
        <w:ind w:firstLine="640" w:firstLineChars="200"/>
        <w:rPr>
          <w:rFonts w:hint="default" w:ascii="仿宋_GB2312" w:eastAsia="仿宋_GB2312"/>
          <w:sz w:val="32"/>
          <w:szCs w:val="32"/>
          <w:lang w:val="en-US" w:eastAsia="zh-CN"/>
        </w:rPr>
      </w:pPr>
      <w:r>
        <w:rPr>
          <w:rFonts w:hint="eastAsia" w:ascii="仿宋_GB2312" w:eastAsia="仿宋_GB2312"/>
          <w:sz w:val="32"/>
          <w:szCs w:val="32"/>
        </w:rPr>
        <w:t>联系人：</w:t>
      </w:r>
      <w:r>
        <w:rPr>
          <w:rFonts w:hint="eastAsia" w:ascii="仿宋_GB2312" w:eastAsia="仿宋_GB2312"/>
          <w:sz w:val="32"/>
          <w:szCs w:val="32"/>
          <w:lang w:val="en-US" w:eastAsia="zh-CN"/>
        </w:rPr>
        <w:t>谭咏琴</w:t>
      </w:r>
      <w:r>
        <w:rPr>
          <w:rFonts w:hint="eastAsia" w:ascii="仿宋_GB2312" w:eastAsia="仿宋_GB2312"/>
          <w:sz w:val="32"/>
          <w:szCs w:val="32"/>
        </w:rPr>
        <w:t>，电话：</w:t>
      </w:r>
      <w:r>
        <w:rPr>
          <w:rFonts w:hint="eastAsia" w:ascii="仿宋_GB2312" w:eastAsia="仿宋_GB2312"/>
          <w:sz w:val="32"/>
          <w:szCs w:val="32"/>
          <w:lang w:val="en-US" w:eastAsia="zh-CN"/>
        </w:rPr>
        <w:t>13874561068</w:t>
      </w:r>
      <w:bookmarkStart w:id="0" w:name="_GoBack"/>
      <w:bookmarkEnd w:id="0"/>
    </w:p>
    <w:p w14:paraId="6CBBCBC9">
      <w:pPr>
        <w:ind w:firstLine="640" w:firstLineChars="200"/>
        <w:rPr>
          <w:rFonts w:hint="default" w:ascii="仿宋_GB2312" w:eastAsia="仿宋_GB2312"/>
          <w:sz w:val="32"/>
          <w:szCs w:val="32"/>
          <w:lang w:val="en-US" w:eastAsia="zh-CN"/>
        </w:rPr>
      </w:pPr>
      <w:r>
        <w:rPr>
          <w:rFonts w:hint="eastAsia" w:ascii="仿宋_GB2312" w:eastAsia="仿宋_GB2312"/>
          <w:sz w:val="32"/>
          <w:szCs w:val="32"/>
        </w:rPr>
        <w:t>公示意见反馈邮箱：</w:t>
      </w:r>
      <w:r>
        <w:rPr>
          <w:rFonts w:hint="eastAsia" w:ascii="仿宋_GB2312" w:eastAsia="仿宋_GB2312"/>
          <w:sz w:val="32"/>
          <w:szCs w:val="32"/>
          <w:lang w:val="en-US" w:eastAsia="zh-CN"/>
        </w:rPr>
        <w:t>4303601@qq.com</w:t>
      </w:r>
    </w:p>
    <w:p w14:paraId="28B50EB8">
      <w:pPr>
        <w:rPr>
          <w:rFonts w:hint="eastAsia"/>
        </w:rPr>
      </w:pPr>
    </w:p>
    <w:p w14:paraId="6749A733">
      <w:pPr>
        <w:ind w:firstLine="640" w:firstLineChars="200"/>
        <w:outlineLvl w:val="0"/>
        <w:rPr>
          <w:rFonts w:hint="eastAsia" w:ascii="黑体" w:hAnsi="黑体" w:eastAsia="黑体"/>
          <w:sz w:val="32"/>
          <w:szCs w:val="32"/>
        </w:rPr>
      </w:pPr>
      <w:r>
        <w:rPr>
          <w:rFonts w:hint="eastAsia" w:ascii="黑体" w:hAnsi="黑体" w:eastAsia="黑体"/>
          <w:sz w:val="32"/>
          <w:szCs w:val="32"/>
        </w:rPr>
        <w:t>一、编制目的</w:t>
      </w:r>
    </w:p>
    <w:p w14:paraId="1AFC7360">
      <w:pPr>
        <w:ind w:firstLine="640" w:firstLineChars="200"/>
        <w:rPr>
          <w:rFonts w:hint="eastAsia" w:ascii="仿宋_GB2312" w:eastAsia="仿宋_GB2312"/>
          <w:sz w:val="32"/>
          <w:szCs w:val="32"/>
        </w:rPr>
      </w:pPr>
      <w:r>
        <w:rPr>
          <w:rFonts w:hint="eastAsia" w:ascii="仿宋_GB2312" w:eastAsia="仿宋_GB2312"/>
          <w:sz w:val="32"/>
          <w:szCs w:val="32"/>
        </w:rPr>
        <w:t>“</w:t>
      </w:r>
      <w:r>
        <w:rPr>
          <w:rFonts w:ascii="仿宋_GB2312" w:eastAsia="仿宋_GB2312"/>
          <w:sz w:val="32"/>
          <w:szCs w:val="32"/>
        </w:rPr>
        <w:t>十五五</w:t>
      </w:r>
      <w:r>
        <w:rPr>
          <w:rFonts w:hint="eastAsia" w:ascii="仿宋_GB2312" w:eastAsia="仿宋_GB2312"/>
          <w:sz w:val="32"/>
          <w:szCs w:val="32"/>
        </w:rPr>
        <w:t>”</w:t>
      </w:r>
      <w:r>
        <w:rPr>
          <w:rFonts w:ascii="仿宋_GB2312" w:eastAsia="仿宋_GB2312"/>
          <w:sz w:val="32"/>
          <w:szCs w:val="32"/>
        </w:rPr>
        <w:t>时期，是我国夯实社会主义现代化建设根基、全面推进现代化建设的关键阶段，也是全省锚定</w:t>
      </w:r>
      <w:r>
        <w:rPr>
          <w:rFonts w:hint="eastAsia" w:ascii="仿宋_GB2312" w:eastAsia="仿宋_GB2312"/>
          <w:sz w:val="32"/>
          <w:szCs w:val="32"/>
        </w:rPr>
        <w:t>“</w:t>
      </w:r>
      <w:r>
        <w:rPr>
          <w:rFonts w:ascii="仿宋_GB2312" w:eastAsia="仿宋_GB2312"/>
          <w:sz w:val="32"/>
          <w:szCs w:val="32"/>
        </w:rPr>
        <w:t>三高四新</w:t>
      </w:r>
      <w:r>
        <w:rPr>
          <w:rFonts w:hint="eastAsia" w:ascii="仿宋_GB2312" w:eastAsia="仿宋_GB2312"/>
          <w:sz w:val="32"/>
          <w:szCs w:val="32"/>
        </w:rPr>
        <w:t>”</w:t>
      </w:r>
      <w:r>
        <w:rPr>
          <w:rFonts w:ascii="仿宋_GB2312" w:eastAsia="仿宋_GB2312"/>
          <w:sz w:val="32"/>
          <w:szCs w:val="32"/>
        </w:rPr>
        <w:t>美好蓝图、奋力书写中国式现代化湖南篇章的重要五年。为全面衔接县域</w:t>
      </w:r>
      <w:r>
        <w:rPr>
          <w:rFonts w:hint="eastAsia" w:ascii="仿宋_GB2312" w:eastAsia="仿宋_GB2312"/>
          <w:sz w:val="32"/>
          <w:szCs w:val="32"/>
        </w:rPr>
        <w:t>“</w:t>
      </w:r>
      <w:r>
        <w:rPr>
          <w:rFonts w:ascii="仿宋_GB2312" w:eastAsia="仿宋_GB2312"/>
          <w:sz w:val="32"/>
          <w:szCs w:val="32"/>
        </w:rPr>
        <w:t>十五五</w:t>
      </w:r>
      <w:r>
        <w:rPr>
          <w:rFonts w:hint="eastAsia" w:ascii="仿宋_GB2312" w:eastAsia="仿宋_GB2312"/>
          <w:sz w:val="32"/>
          <w:szCs w:val="32"/>
        </w:rPr>
        <w:t>”</w:t>
      </w:r>
      <w:r>
        <w:rPr>
          <w:rFonts w:ascii="仿宋_GB2312" w:eastAsia="仿宋_GB2312"/>
          <w:sz w:val="32"/>
          <w:szCs w:val="32"/>
        </w:rPr>
        <w:t>发展规划及各类专项规划，依托国土空间规划实施评估成果，依规有序开展新晃县国土空间总体规划动态维护工作，推动规划布局更科学、空间结构更合理、管控举措更精准，切实保障新晃县</w:t>
      </w:r>
      <w:r>
        <w:rPr>
          <w:rFonts w:hint="eastAsia" w:ascii="仿宋_GB2312" w:eastAsia="仿宋_GB2312"/>
          <w:sz w:val="32"/>
          <w:szCs w:val="32"/>
        </w:rPr>
        <w:t>“</w:t>
      </w:r>
      <w:r>
        <w:rPr>
          <w:rFonts w:ascii="仿宋_GB2312" w:eastAsia="仿宋_GB2312"/>
          <w:sz w:val="32"/>
          <w:szCs w:val="32"/>
        </w:rPr>
        <w:t>十五五</w:t>
      </w:r>
      <w:r>
        <w:rPr>
          <w:rFonts w:hint="eastAsia" w:ascii="仿宋_GB2312" w:eastAsia="仿宋_GB2312"/>
          <w:sz w:val="32"/>
          <w:szCs w:val="32"/>
        </w:rPr>
        <w:t>”</w:t>
      </w:r>
      <w:r>
        <w:rPr>
          <w:rFonts w:ascii="仿宋_GB2312" w:eastAsia="仿宋_GB2312"/>
          <w:sz w:val="32"/>
          <w:szCs w:val="32"/>
        </w:rPr>
        <w:t>发展目标与重大项目落地见效，为县域经济社会高质量发展筑牢自然资源空间支撑。</w:t>
      </w:r>
    </w:p>
    <w:p w14:paraId="13EBCCF0">
      <w:pPr>
        <w:ind w:firstLine="640" w:firstLineChars="200"/>
        <w:outlineLvl w:val="0"/>
        <w:rPr>
          <w:rFonts w:hint="eastAsia" w:ascii="黑体" w:hAnsi="黑体" w:eastAsia="黑体"/>
          <w:sz w:val="32"/>
          <w:szCs w:val="32"/>
        </w:rPr>
      </w:pPr>
      <w:r>
        <w:rPr>
          <w:rFonts w:hint="eastAsia" w:ascii="黑体" w:hAnsi="黑体" w:eastAsia="黑体"/>
          <w:sz w:val="32"/>
          <w:szCs w:val="32"/>
        </w:rPr>
        <w:t>二、主要任务</w:t>
      </w:r>
    </w:p>
    <w:p w14:paraId="11166313">
      <w:pPr>
        <w:ind w:firstLine="640" w:firstLineChars="200"/>
        <w:rPr>
          <w:rFonts w:hint="eastAsia" w:ascii="仿宋_GB2312" w:eastAsia="仿宋_GB2312"/>
          <w:sz w:val="32"/>
          <w:szCs w:val="32"/>
        </w:rPr>
      </w:pPr>
      <w:r>
        <w:rPr>
          <w:rFonts w:ascii="仿宋_GB2312" w:eastAsia="仿宋_GB2312"/>
          <w:sz w:val="32"/>
          <w:szCs w:val="32"/>
        </w:rPr>
        <w:t>本次动态维护立足对</w:t>
      </w:r>
      <w:r>
        <w:rPr>
          <w:rFonts w:hint="eastAsia" w:ascii="仿宋_GB2312" w:eastAsia="仿宋_GB2312"/>
          <w:sz w:val="32"/>
          <w:szCs w:val="32"/>
        </w:rPr>
        <w:t>“十五五”</w:t>
      </w:r>
      <w:r>
        <w:rPr>
          <w:rFonts w:ascii="仿宋_GB2312" w:eastAsia="仿宋_GB2312"/>
          <w:sz w:val="32"/>
          <w:szCs w:val="32"/>
        </w:rPr>
        <w:t>发展战略的支撑与适应，在国土空间总体规划年度体检评估成果</w:t>
      </w:r>
      <w:r>
        <w:rPr>
          <w:rFonts w:hint="eastAsia" w:ascii="仿宋_GB2312" w:eastAsia="仿宋_GB2312"/>
          <w:sz w:val="32"/>
          <w:szCs w:val="32"/>
        </w:rPr>
        <w:t>的</w:t>
      </w:r>
      <w:r>
        <w:rPr>
          <w:rFonts w:ascii="仿宋_GB2312" w:eastAsia="仿宋_GB2312"/>
          <w:sz w:val="32"/>
          <w:szCs w:val="32"/>
        </w:rPr>
        <w:t>基础上，以严守空间安全底线、不突破国土空间总体规划确定的保护目标任务、不改变国土空间总体规划确定的空间结构和格局为前提，重点对三条控制线、规划分区、中心城区用地规划布局、城市</w:t>
      </w:r>
      <w:r>
        <w:rPr>
          <w:rFonts w:hint="eastAsia" w:ascii="仿宋_GB2312" w:eastAsia="仿宋_GB2312"/>
          <w:sz w:val="32"/>
          <w:szCs w:val="32"/>
        </w:rPr>
        <w:t>“四线”</w:t>
      </w:r>
      <w:r>
        <w:rPr>
          <w:rFonts w:ascii="仿宋_GB2312" w:eastAsia="仿宋_GB2312"/>
          <w:sz w:val="32"/>
          <w:szCs w:val="32"/>
        </w:rPr>
        <w:t>、省级以上产业园区发展边界、村庄建设边界、重点建设项目清单等开展动态维护，持续提升国土空间规划对</w:t>
      </w:r>
      <w:r>
        <w:rPr>
          <w:rFonts w:hint="eastAsia" w:ascii="仿宋_GB2312" w:eastAsia="仿宋_GB2312"/>
          <w:sz w:val="32"/>
          <w:szCs w:val="32"/>
        </w:rPr>
        <w:t>“十五五”</w:t>
      </w:r>
      <w:r>
        <w:rPr>
          <w:rFonts w:ascii="仿宋_GB2312" w:eastAsia="仿宋_GB2312"/>
          <w:sz w:val="32"/>
          <w:szCs w:val="32"/>
        </w:rPr>
        <w:t>时期高质量发展的支撑保障能力。</w:t>
      </w:r>
    </w:p>
    <w:p w14:paraId="225C3E9B">
      <w:pPr>
        <w:ind w:firstLine="640" w:firstLineChars="200"/>
        <w:outlineLvl w:val="0"/>
        <w:rPr>
          <w:rFonts w:hint="eastAsia" w:ascii="黑体" w:hAnsi="黑体" w:eastAsia="黑体"/>
          <w:sz w:val="32"/>
          <w:szCs w:val="32"/>
        </w:rPr>
      </w:pPr>
      <w:r>
        <w:rPr>
          <w:rFonts w:hint="eastAsia" w:ascii="黑体" w:hAnsi="黑体" w:eastAsia="黑体"/>
          <w:sz w:val="32"/>
          <w:szCs w:val="32"/>
        </w:rPr>
        <w:t>三、维护范围</w:t>
      </w:r>
    </w:p>
    <w:p w14:paraId="72D13F6F">
      <w:pPr>
        <w:ind w:firstLine="640" w:firstLineChars="200"/>
        <w:rPr>
          <w:rFonts w:hint="eastAsia" w:ascii="仿宋_GB2312" w:eastAsia="仿宋_GB2312"/>
          <w:sz w:val="32"/>
          <w:szCs w:val="32"/>
        </w:rPr>
      </w:pPr>
      <w:r>
        <w:rPr>
          <w:rFonts w:ascii="仿宋_GB2312" w:eastAsia="仿宋_GB2312"/>
          <w:sz w:val="32"/>
          <w:szCs w:val="32"/>
        </w:rPr>
        <w:t>按照《湖南省市县级国土空间总体规划动态调整完善工作方案》，本次动态</w:t>
      </w:r>
      <w:r>
        <w:rPr>
          <w:rFonts w:hint="eastAsia" w:ascii="仿宋_GB2312" w:eastAsia="仿宋_GB2312"/>
          <w:sz w:val="32"/>
          <w:szCs w:val="32"/>
        </w:rPr>
        <w:t>维护</w:t>
      </w:r>
      <w:r>
        <w:rPr>
          <w:rFonts w:ascii="仿宋_GB2312" w:eastAsia="仿宋_GB2312"/>
          <w:sz w:val="32"/>
          <w:szCs w:val="32"/>
        </w:rPr>
        <w:t>工作编制范围与《新晃侗族自治县国土空间总体规划（2021-2035年）》保持一致，重点聚焦县域和中心城区范围。</w:t>
      </w:r>
    </w:p>
    <w:p w14:paraId="243C64D0">
      <w:pPr>
        <w:ind w:firstLine="640" w:firstLineChars="200"/>
        <w:outlineLvl w:val="0"/>
        <w:rPr>
          <w:rFonts w:hint="eastAsia" w:ascii="黑体" w:hAnsi="黑体" w:eastAsia="黑体"/>
          <w:sz w:val="32"/>
          <w:szCs w:val="32"/>
        </w:rPr>
      </w:pPr>
      <w:r>
        <w:rPr>
          <w:rFonts w:hint="eastAsia" w:ascii="黑体" w:hAnsi="黑体" w:eastAsia="黑体"/>
          <w:sz w:val="32"/>
          <w:szCs w:val="32"/>
        </w:rPr>
        <w:t>四、编制原则</w:t>
      </w:r>
    </w:p>
    <w:p w14:paraId="49DA5162">
      <w:pPr>
        <w:ind w:firstLine="643" w:firstLineChars="200"/>
        <w:rPr>
          <w:rFonts w:hint="eastAsia" w:ascii="仿宋_GB2312" w:eastAsia="仿宋_GB2312"/>
          <w:sz w:val="32"/>
          <w:szCs w:val="32"/>
        </w:rPr>
      </w:pPr>
      <w:r>
        <w:rPr>
          <w:rFonts w:hint="eastAsia" w:ascii="仿宋_GB2312" w:eastAsia="仿宋_GB2312"/>
          <w:b/>
          <w:sz w:val="32"/>
          <w:szCs w:val="32"/>
        </w:rPr>
        <w:t>落实重大战略。</w:t>
      </w:r>
      <w:r>
        <w:rPr>
          <w:rFonts w:ascii="仿宋_GB2312" w:eastAsia="仿宋_GB2312"/>
          <w:sz w:val="32"/>
          <w:szCs w:val="32"/>
        </w:rPr>
        <w:t>紧密衔接国家、省市重大战略部署及新晃县</w:t>
      </w:r>
      <w:r>
        <w:rPr>
          <w:rFonts w:hint="eastAsia" w:ascii="仿宋_GB2312" w:eastAsia="仿宋_GB2312"/>
          <w:sz w:val="32"/>
          <w:szCs w:val="32"/>
        </w:rPr>
        <w:t>“十五五”</w:t>
      </w:r>
      <w:r>
        <w:rPr>
          <w:rFonts w:ascii="仿宋_GB2312" w:eastAsia="仿宋_GB2312"/>
          <w:sz w:val="32"/>
          <w:szCs w:val="32"/>
        </w:rPr>
        <w:t>时期发展需求，聚焦国土空间规划实施评估揭示的突出问题以及重大项目落地空间诉求，以调整优化破解发展难题。</w:t>
      </w:r>
    </w:p>
    <w:p w14:paraId="26D5D142">
      <w:pPr>
        <w:ind w:firstLine="643" w:firstLineChars="200"/>
        <w:rPr>
          <w:rFonts w:hint="eastAsia" w:ascii="仿宋_GB2312" w:eastAsia="仿宋_GB2312"/>
          <w:sz w:val="32"/>
          <w:szCs w:val="32"/>
        </w:rPr>
      </w:pPr>
      <w:r>
        <w:rPr>
          <w:rFonts w:hint="eastAsia" w:ascii="仿宋_GB2312" w:eastAsia="仿宋_GB2312"/>
          <w:b/>
          <w:sz w:val="32"/>
          <w:szCs w:val="32"/>
        </w:rPr>
        <w:t>注重正向优化。</w:t>
      </w:r>
      <w:r>
        <w:rPr>
          <w:rFonts w:ascii="仿宋_GB2312" w:eastAsia="仿宋_GB2312"/>
          <w:sz w:val="32"/>
          <w:szCs w:val="32"/>
        </w:rPr>
        <w:t>基于新晃县国土空间规划体检评估结论，通过理念更新、机制完善、举措创新，优化发展路径、提升发展质效、增强发展韧性，确保既守住底线又增强保障能力，推动规划提质增效。</w:t>
      </w:r>
    </w:p>
    <w:p w14:paraId="178EA96C">
      <w:pPr>
        <w:ind w:firstLine="643" w:firstLineChars="200"/>
        <w:rPr>
          <w:rFonts w:hint="eastAsia" w:ascii="仿宋_GB2312" w:eastAsia="仿宋_GB2312"/>
          <w:sz w:val="32"/>
          <w:szCs w:val="32"/>
        </w:rPr>
      </w:pPr>
      <w:r>
        <w:rPr>
          <w:rFonts w:hint="eastAsia" w:ascii="仿宋_GB2312" w:eastAsia="仿宋_GB2312"/>
          <w:b/>
          <w:sz w:val="32"/>
          <w:szCs w:val="32"/>
        </w:rPr>
        <w:t>坚持依法依规。</w:t>
      </w:r>
      <w:r>
        <w:rPr>
          <w:rFonts w:ascii="仿宋_GB2312" w:eastAsia="仿宋_GB2312"/>
          <w:sz w:val="32"/>
          <w:szCs w:val="32"/>
        </w:rPr>
        <w:t>严格遵守相关法律法规和技术规范，完善从需求梳理、方案编制、论证审查到审批备案的全流程管理，维护规划的严肃性和权威性。</w:t>
      </w:r>
    </w:p>
    <w:p w14:paraId="2B43F163">
      <w:pPr>
        <w:ind w:firstLine="643" w:firstLineChars="200"/>
        <w:rPr>
          <w:rFonts w:hint="eastAsia" w:ascii="仿宋_GB2312" w:eastAsia="仿宋_GB2312"/>
          <w:sz w:val="32"/>
          <w:szCs w:val="32"/>
        </w:rPr>
      </w:pPr>
      <w:r>
        <w:rPr>
          <w:rFonts w:hint="eastAsia" w:ascii="仿宋_GB2312" w:eastAsia="仿宋_GB2312"/>
          <w:b/>
          <w:sz w:val="32"/>
          <w:szCs w:val="32"/>
        </w:rPr>
        <w:t>严守安全底线。</w:t>
      </w:r>
      <w:r>
        <w:rPr>
          <w:rFonts w:ascii="仿宋_GB2312" w:eastAsia="仿宋_GB2312"/>
          <w:sz w:val="32"/>
          <w:szCs w:val="32"/>
        </w:rPr>
        <w:t>以总体国家安全观为统领，把安全作为发展的前提和底线，将安全要求嵌入规划编制、审批、实施、监管全链条，坚持底线思维，强化系统防控，注重源头治理，实现发展与安全动态平衡、良性互动。</w:t>
      </w:r>
    </w:p>
    <w:p w14:paraId="337E3D6D">
      <w:pPr>
        <w:ind w:firstLine="640" w:firstLineChars="200"/>
        <w:outlineLvl w:val="0"/>
        <w:rPr>
          <w:rFonts w:hint="eastAsia" w:ascii="黑体" w:hAnsi="黑体" w:eastAsia="黑体"/>
          <w:sz w:val="32"/>
          <w:szCs w:val="32"/>
        </w:rPr>
      </w:pPr>
      <w:r>
        <w:rPr>
          <w:rFonts w:hint="eastAsia" w:ascii="黑体" w:hAnsi="黑体" w:eastAsia="黑体"/>
          <w:sz w:val="32"/>
          <w:szCs w:val="32"/>
        </w:rPr>
        <w:t>五、动态维护方案</w:t>
      </w:r>
    </w:p>
    <w:p w14:paraId="0D0752AC">
      <w:pPr>
        <w:ind w:firstLine="643" w:firstLineChars="200"/>
        <w:outlineLvl w:val="1"/>
        <w:rPr>
          <w:rFonts w:hint="eastAsia" w:ascii="仿宋_GB2312" w:eastAsia="仿宋_GB2312"/>
          <w:b/>
          <w:bCs/>
          <w:sz w:val="32"/>
          <w:szCs w:val="32"/>
        </w:rPr>
      </w:pPr>
      <w:r>
        <w:rPr>
          <w:rFonts w:hint="eastAsia" w:ascii="仿宋_GB2312" w:eastAsia="仿宋_GB2312"/>
          <w:b/>
          <w:bCs/>
          <w:sz w:val="32"/>
          <w:szCs w:val="32"/>
        </w:rPr>
        <w:t>（一）三条控制线</w:t>
      </w:r>
    </w:p>
    <w:p w14:paraId="6CFB3C51">
      <w:pPr>
        <w:ind w:firstLine="643" w:firstLineChars="200"/>
        <w:rPr>
          <w:rFonts w:hint="eastAsia" w:ascii="仿宋_GB2312" w:eastAsia="仿宋_GB2312"/>
          <w:b/>
          <w:bCs/>
          <w:sz w:val="32"/>
          <w:szCs w:val="32"/>
        </w:rPr>
      </w:pPr>
      <w:r>
        <w:rPr>
          <w:rFonts w:hint="eastAsia" w:ascii="仿宋_GB2312" w:eastAsia="仿宋_GB2312"/>
          <w:b/>
          <w:bCs/>
          <w:sz w:val="32"/>
          <w:szCs w:val="32"/>
        </w:rPr>
        <w:t>1.耕地和永久基本农田</w:t>
      </w:r>
    </w:p>
    <w:p w14:paraId="7D45D33A">
      <w:pPr>
        <w:ind w:firstLine="640" w:firstLineChars="200"/>
        <w:rPr>
          <w:rFonts w:hint="eastAsia" w:ascii="仿宋_GB2312" w:eastAsia="仿宋_GB2312"/>
          <w:sz w:val="32"/>
          <w:szCs w:val="32"/>
        </w:rPr>
      </w:pPr>
      <w:r>
        <w:rPr>
          <w:rFonts w:hint="eastAsia" w:ascii="仿宋_GB2312" w:eastAsia="仿宋_GB2312"/>
          <w:sz w:val="32"/>
          <w:szCs w:val="32"/>
        </w:rPr>
        <w:t>按照“数量不减少、质量生态有提升、布局更优化”要求，开展耕地和永久基本农田保护红线动态维护。充分衔接湖南省耕地保护与国土绿化空间专项规划、永久基本农田核实处置、正向优化成果，统筹协调耕地保护、国土绿化、基础设施建设和乡村发展需求，进一步推动耕地优进劣出、集中连片、稳定利用，切实保障粮食安全。动态维护后，全县永久基本农田保护面积不低于24.46万亩。</w:t>
      </w:r>
    </w:p>
    <w:p w14:paraId="7AC5562C">
      <w:pPr>
        <w:ind w:firstLine="643" w:firstLineChars="200"/>
        <w:rPr>
          <w:rFonts w:hint="eastAsia" w:ascii="仿宋_GB2312" w:eastAsia="仿宋_GB2312"/>
          <w:b/>
          <w:bCs/>
          <w:sz w:val="32"/>
          <w:szCs w:val="32"/>
        </w:rPr>
      </w:pPr>
      <w:r>
        <w:rPr>
          <w:rFonts w:hint="eastAsia" w:ascii="仿宋_GB2312" w:eastAsia="仿宋_GB2312"/>
          <w:b/>
          <w:bCs/>
          <w:sz w:val="32"/>
          <w:szCs w:val="32"/>
        </w:rPr>
        <w:t>2.生态保护红线</w:t>
      </w:r>
    </w:p>
    <w:p w14:paraId="7F87CACB">
      <w:pPr>
        <w:ind w:firstLine="640" w:firstLineChars="200"/>
        <w:rPr>
          <w:rFonts w:hint="eastAsia" w:ascii="仿宋_GB2312" w:eastAsia="仿宋_GB2312"/>
          <w:sz w:val="32"/>
          <w:szCs w:val="32"/>
        </w:rPr>
      </w:pPr>
      <w:r>
        <w:rPr>
          <w:rFonts w:hint="eastAsia" w:ascii="仿宋_GB2312" w:eastAsia="仿宋_GB2312"/>
          <w:sz w:val="32"/>
          <w:szCs w:val="32"/>
        </w:rPr>
        <w:t>本次动态维护不涉及生态保护红线调整，新晃县生态保护红线面积404.07平方千米。</w:t>
      </w:r>
    </w:p>
    <w:p w14:paraId="177BD4D8">
      <w:pPr>
        <w:ind w:firstLine="643" w:firstLineChars="200"/>
        <w:rPr>
          <w:rFonts w:hint="eastAsia" w:ascii="仿宋_GB2312" w:eastAsia="仿宋_GB2312"/>
          <w:b/>
          <w:bCs/>
          <w:sz w:val="32"/>
          <w:szCs w:val="32"/>
        </w:rPr>
      </w:pPr>
      <w:r>
        <w:rPr>
          <w:rFonts w:hint="eastAsia" w:ascii="仿宋_GB2312" w:eastAsia="仿宋_GB2312"/>
          <w:b/>
          <w:bCs/>
          <w:sz w:val="32"/>
          <w:szCs w:val="32"/>
        </w:rPr>
        <w:t>3.城镇开发边界</w:t>
      </w:r>
    </w:p>
    <w:p w14:paraId="04A12921">
      <w:pPr>
        <w:ind w:firstLine="640" w:firstLineChars="200"/>
        <w:rPr>
          <w:rFonts w:hint="eastAsia" w:ascii="仿宋_GB2312" w:eastAsia="仿宋_GB2312"/>
          <w:sz w:val="32"/>
          <w:szCs w:val="32"/>
        </w:rPr>
      </w:pPr>
      <w:r>
        <w:rPr>
          <w:rFonts w:hint="eastAsia" w:ascii="仿宋_GB2312" w:eastAsia="仿宋_GB2312"/>
          <w:sz w:val="32"/>
          <w:szCs w:val="32"/>
        </w:rPr>
        <w:t>以“总量不突破、布局更集聚、城镇功能品质有提升”为导向，在不突破扩展倍数和新增城镇建设用地规模的前提下，开展城镇开发边界动态维护。维护方案充分衔接“十五五”空间需求，重点保障重大战略平台、重点建设项目和民生基础设施落地实施。动态维护后，全县城镇开发边界1540.89公顷，扩展倍数未增加，城镇空间进一步集聚。</w:t>
      </w:r>
    </w:p>
    <w:p w14:paraId="35B3957B">
      <w:pPr>
        <w:ind w:firstLine="643" w:firstLineChars="200"/>
        <w:outlineLvl w:val="1"/>
        <w:rPr>
          <w:rFonts w:hint="eastAsia" w:ascii="仿宋_GB2312" w:eastAsia="仿宋_GB2312"/>
          <w:b/>
          <w:bCs/>
          <w:sz w:val="32"/>
          <w:szCs w:val="32"/>
        </w:rPr>
      </w:pPr>
      <w:r>
        <w:rPr>
          <w:rFonts w:hint="eastAsia" w:ascii="仿宋_GB2312" w:eastAsia="仿宋_GB2312"/>
          <w:b/>
          <w:bCs/>
          <w:sz w:val="32"/>
          <w:szCs w:val="32"/>
        </w:rPr>
        <w:t>（二）规划分区</w:t>
      </w:r>
    </w:p>
    <w:p w14:paraId="457A55E4">
      <w:pPr>
        <w:ind w:firstLine="640" w:firstLineChars="200"/>
        <w:rPr>
          <w:rFonts w:hint="eastAsia" w:ascii="仿宋_GB2312" w:eastAsia="仿宋_GB2312"/>
          <w:sz w:val="32"/>
          <w:szCs w:val="32"/>
        </w:rPr>
      </w:pPr>
      <w:r>
        <w:rPr>
          <w:rFonts w:hint="eastAsia" w:ascii="仿宋_GB2312" w:eastAsia="仿宋_GB2312"/>
          <w:sz w:val="32"/>
          <w:szCs w:val="32"/>
        </w:rPr>
        <w:t>在符合规划分区主导功能基本稳定、布局更加集聚，遵循全域全覆盖、不重叠的基本原则，结合三条控制线调整、国土变更调查、专项规划深化和项目落位需求，对农田保护区、生态保护区、生态控制区、城镇发展区、乡村发展区等规划分区进行局部优化。重点处理规划分区与现状地类、控制线边界、村庄建设边界、产业园区发展边界、重大项目选址之间的不一致问题。</w:t>
      </w:r>
    </w:p>
    <w:p w14:paraId="013DED3D">
      <w:pPr>
        <w:ind w:firstLine="643" w:firstLineChars="200"/>
        <w:outlineLvl w:val="1"/>
        <w:rPr>
          <w:rFonts w:hint="eastAsia" w:ascii="仿宋_GB2312" w:eastAsia="仿宋_GB2312"/>
          <w:b/>
          <w:bCs/>
          <w:sz w:val="32"/>
          <w:szCs w:val="32"/>
        </w:rPr>
      </w:pPr>
      <w:r>
        <w:rPr>
          <w:rFonts w:hint="eastAsia" w:ascii="仿宋_GB2312" w:eastAsia="仿宋_GB2312"/>
          <w:b/>
          <w:bCs/>
          <w:sz w:val="32"/>
          <w:szCs w:val="32"/>
        </w:rPr>
        <w:t>（三）中心城区用地规划布局</w:t>
      </w:r>
    </w:p>
    <w:p w14:paraId="3FC2F5BB">
      <w:pPr>
        <w:ind w:firstLine="640" w:firstLineChars="200"/>
        <w:rPr>
          <w:rFonts w:hint="eastAsia" w:ascii="仿宋_GB2312" w:eastAsia="仿宋_GB2312"/>
          <w:sz w:val="32"/>
          <w:szCs w:val="32"/>
        </w:rPr>
      </w:pPr>
      <w:r>
        <w:rPr>
          <w:rFonts w:hint="eastAsia" w:ascii="仿宋_GB2312" w:eastAsia="仿宋_GB2312"/>
          <w:sz w:val="32"/>
          <w:szCs w:val="32"/>
        </w:rPr>
        <w:t>在不涉及规划强制性内容、确保用地结构和空间布局基本稳定的前提下，结合规划实施、城市体检评估、重大项目建设等情况，按照规划分区确定的主导功能和管控要求，统筹生产、生活、生态空间，局部优化中心城区用地规划布局。重点围绕公共服务设施补短板、交通市政设施落位、产业空间提升、居住与就业平衡、蓝绿空间保护、存量低效用地再开发等内容，对部分用地性质、边界和布局进行统筹调整。</w:t>
      </w:r>
    </w:p>
    <w:p w14:paraId="3559E618">
      <w:pPr>
        <w:ind w:firstLine="643" w:firstLineChars="200"/>
        <w:outlineLvl w:val="1"/>
        <w:rPr>
          <w:rFonts w:hint="eastAsia" w:ascii="仿宋_GB2312" w:eastAsia="仿宋_GB2312"/>
          <w:b/>
          <w:bCs/>
          <w:sz w:val="32"/>
          <w:szCs w:val="32"/>
        </w:rPr>
      </w:pPr>
      <w:r>
        <w:rPr>
          <w:rFonts w:hint="eastAsia" w:ascii="仿宋_GB2312" w:eastAsia="仿宋_GB2312"/>
          <w:b/>
          <w:bCs/>
          <w:sz w:val="32"/>
          <w:szCs w:val="32"/>
        </w:rPr>
        <w:t>（四）中心城区城市“四线”</w:t>
      </w:r>
    </w:p>
    <w:p w14:paraId="2A7A0A4D">
      <w:pPr>
        <w:ind w:firstLine="640" w:firstLineChars="200"/>
        <w:rPr>
          <w:rFonts w:hint="eastAsia" w:ascii="仿宋_GB2312" w:eastAsia="仿宋_GB2312"/>
          <w:sz w:val="32"/>
          <w:szCs w:val="32"/>
        </w:rPr>
      </w:pPr>
      <w:r>
        <w:rPr>
          <w:rFonts w:ascii="仿宋_GB2312" w:eastAsia="仿宋_GB2312"/>
          <w:sz w:val="32"/>
          <w:szCs w:val="32"/>
        </w:rPr>
        <w:t>新晃县中心城区城市</w:t>
      </w:r>
      <w:r>
        <w:rPr>
          <w:rFonts w:hint="eastAsia" w:ascii="仿宋_GB2312" w:eastAsia="仿宋_GB2312"/>
          <w:sz w:val="32"/>
          <w:szCs w:val="32"/>
        </w:rPr>
        <w:t>“四线”</w:t>
      </w:r>
      <w:r>
        <w:rPr>
          <w:rFonts w:ascii="仿宋_GB2312" w:eastAsia="仿宋_GB2312"/>
          <w:sz w:val="32"/>
          <w:szCs w:val="32"/>
        </w:rPr>
        <w:t>动态维护主要涉及城市绿线和城市黄线。在确保城市绿线总量不减少、功能不降低、布局基本稳定的前提下，充分衔接相关专项规划，局部优化城市绿线。在确保城市黄线</w:t>
      </w:r>
      <w:r>
        <w:rPr>
          <w:rFonts w:hint="eastAsia" w:ascii="仿宋_GB2312" w:eastAsia="仿宋_GB2312"/>
          <w:sz w:val="32"/>
          <w:szCs w:val="32"/>
        </w:rPr>
        <w:t>规模稳中有控</w:t>
      </w:r>
      <w:r>
        <w:rPr>
          <w:rFonts w:ascii="仿宋_GB2312" w:eastAsia="仿宋_GB2312"/>
          <w:sz w:val="32"/>
          <w:szCs w:val="32"/>
        </w:rPr>
        <w:t>、功能不降低、布局基本稳定的前提下，充分衔接相关专项规划，局部优化城市黄线。</w:t>
      </w:r>
    </w:p>
    <w:p w14:paraId="3D5160C9">
      <w:pPr>
        <w:ind w:firstLine="643" w:firstLineChars="200"/>
        <w:outlineLvl w:val="1"/>
        <w:rPr>
          <w:rFonts w:hint="eastAsia" w:ascii="仿宋_GB2312" w:eastAsia="仿宋_GB2312"/>
          <w:b/>
          <w:bCs/>
          <w:sz w:val="32"/>
          <w:szCs w:val="32"/>
        </w:rPr>
      </w:pPr>
      <w:r>
        <w:rPr>
          <w:rFonts w:hint="eastAsia" w:ascii="仿宋_GB2312" w:eastAsia="仿宋_GB2312"/>
          <w:b/>
          <w:bCs/>
          <w:sz w:val="32"/>
          <w:szCs w:val="32"/>
        </w:rPr>
        <w:t>（五）其他重要控制线</w:t>
      </w:r>
    </w:p>
    <w:p w14:paraId="75FAD722">
      <w:pPr>
        <w:ind w:firstLine="640" w:firstLineChars="200"/>
        <w:rPr>
          <w:rFonts w:hint="eastAsia" w:ascii="仿宋_GB2312" w:eastAsia="仿宋_GB2312"/>
          <w:sz w:val="32"/>
          <w:szCs w:val="32"/>
        </w:rPr>
      </w:pPr>
      <w:r>
        <w:rPr>
          <w:rFonts w:hint="eastAsia" w:ascii="仿宋_GB2312" w:eastAsia="仿宋_GB2312"/>
          <w:sz w:val="32"/>
          <w:szCs w:val="32"/>
        </w:rPr>
        <w:t>本次动态维护不涉及历史文化保护线、洪涝风险控制线等其他控制线调整。</w:t>
      </w:r>
    </w:p>
    <w:p w14:paraId="331C2492">
      <w:pPr>
        <w:ind w:firstLine="643" w:firstLineChars="200"/>
        <w:outlineLvl w:val="1"/>
        <w:rPr>
          <w:rFonts w:hint="eastAsia" w:ascii="仿宋_GB2312" w:eastAsia="仿宋_GB2312"/>
          <w:b/>
          <w:bCs/>
          <w:sz w:val="32"/>
          <w:szCs w:val="32"/>
        </w:rPr>
      </w:pPr>
      <w:r>
        <w:rPr>
          <w:rFonts w:hint="eastAsia" w:ascii="仿宋_GB2312" w:eastAsia="仿宋_GB2312"/>
          <w:b/>
          <w:bCs/>
          <w:sz w:val="32"/>
          <w:szCs w:val="32"/>
        </w:rPr>
        <w:t>（六）省级以上产业园区发展边界</w:t>
      </w:r>
    </w:p>
    <w:p w14:paraId="39813D9D">
      <w:pPr>
        <w:ind w:firstLine="640" w:firstLineChars="200"/>
        <w:rPr>
          <w:rFonts w:hint="eastAsia" w:ascii="仿宋_GB2312" w:eastAsia="仿宋_GB2312"/>
          <w:sz w:val="32"/>
          <w:szCs w:val="32"/>
        </w:rPr>
      </w:pPr>
      <w:r>
        <w:rPr>
          <w:rFonts w:ascii="仿宋_GB2312" w:eastAsia="仿宋_GB2312"/>
          <w:sz w:val="32"/>
          <w:szCs w:val="32"/>
        </w:rPr>
        <w:t>结合新晃产业开发区土地利用目录优化方案及产业园区远景拓展需求，本次动态维护对新晃产业园区发展边界进行维护</w:t>
      </w:r>
      <w:r>
        <w:rPr>
          <w:rFonts w:hint="eastAsia" w:ascii="仿宋_GB2312" w:eastAsia="仿宋_GB2312"/>
          <w:sz w:val="32"/>
          <w:szCs w:val="32"/>
        </w:rPr>
        <w:t>。</w:t>
      </w:r>
    </w:p>
    <w:p w14:paraId="117C9609">
      <w:pPr>
        <w:ind w:firstLine="643" w:firstLineChars="200"/>
        <w:outlineLvl w:val="1"/>
        <w:rPr>
          <w:rFonts w:hint="eastAsia" w:ascii="仿宋_GB2312" w:eastAsia="仿宋_GB2312"/>
          <w:b/>
          <w:bCs/>
          <w:sz w:val="32"/>
          <w:szCs w:val="32"/>
        </w:rPr>
      </w:pPr>
      <w:r>
        <w:rPr>
          <w:rFonts w:hint="eastAsia" w:ascii="仿宋_GB2312" w:eastAsia="仿宋_GB2312"/>
          <w:b/>
          <w:bCs/>
          <w:sz w:val="32"/>
          <w:szCs w:val="32"/>
        </w:rPr>
        <w:t>（七）村庄建设边界</w:t>
      </w:r>
    </w:p>
    <w:p w14:paraId="7394898B">
      <w:pPr>
        <w:ind w:firstLine="640" w:firstLineChars="200"/>
        <w:rPr>
          <w:rFonts w:hint="eastAsia" w:ascii="仿宋_GB2312" w:eastAsia="仿宋_GB2312"/>
          <w:sz w:val="32"/>
          <w:szCs w:val="32"/>
        </w:rPr>
      </w:pPr>
      <w:r>
        <w:rPr>
          <w:rFonts w:ascii="仿宋_GB2312" w:eastAsia="仿宋_GB2312"/>
          <w:sz w:val="32"/>
          <w:szCs w:val="32"/>
        </w:rPr>
        <w:t>依据</w:t>
      </w:r>
      <w:r>
        <w:rPr>
          <w:rFonts w:hint="eastAsia" w:ascii="仿宋_GB2312" w:eastAsia="仿宋_GB2312"/>
          <w:sz w:val="32"/>
          <w:szCs w:val="32"/>
        </w:rPr>
        <w:t>上级</w:t>
      </w:r>
      <w:r>
        <w:rPr>
          <w:rFonts w:ascii="仿宋_GB2312" w:eastAsia="仿宋_GB2312"/>
          <w:sz w:val="32"/>
          <w:szCs w:val="32"/>
        </w:rPr>
        <w:t>确定的村庄建设用地总量指标，在不突破各乡镇村庄建设用地总规模的前提下，结合地方发展实际情况和发展诉求，对全县村庄建设边界进行维护。将新增乡村产业、村民建房、配套设施等纳入，合理划定村庄建设边界，并预留一定比例的村庄建设用地规模暂不落位，待规划实施中根据实际需求逐步上图落位，用以保障重大项目、农村基础设施、公共服务设施、村民建房、乡村产业用地等。</w:t>
      </w:r>
    </w:p>
    <w:p w14:paraId="246D9521">
      <w:pPr>
        <w:ind w:firstLine="643" w:firstLineChars="200"/>
        <w:outlineLvl w:val="1"/>
        <w:rPr>
          <w:rFonts w:hint="eastAsia" w:ascii="仿宋_GB2312" w:eastAsia="仿宋_GB2312"/>
          <w:b/>
          <w:bCs/>
          <w:sz w:val="32"/>
          <w:szCs w:val="32"/>
        </w:rPr>
      </w:pPr>
      <w:r>
        <w:rPr>
          <w:rFonts w:hint="eastAsia" w:ascii="仿宋_GB2312" w:eastAsia="仿宋_GB2312"/>
          <w:b/>
          <w:bCs/>
          <w:sz w:val="32"/>
          <w:szCs w:val="32"/>
        </w:rPr>
        <w:t>（八）重点建设项目清单</w:t>
      </w:r>
    </w:p>
    <w:p w14:paraId="5A121124">
      <w:pPr>
        <w:ind w:firstLine="640" w:firstLineChars="200"/>
        <w:rPr>
          <w:rFonts w:hint="eastAsia" w:ascii="仿宋_GB2312" w:eastAsia="仿宋_GB2312"/>
          <w:sz w:val="32"/>
          <w:szCs w:val="32"/>
        </w:rPr>
      </w:pPr>
      <w:r>
        <w:rPr>
          <w:rFonts w:ascii="仿宋_GB2312" w:eastAsia="仿宋_GB2312"/>
          <w:sz w:val="32"/>
          <w:szCs w:val="32"/>
        </w:rPr>
        <w:t>全面对接新晃县</w:t>
      </w:r>
      <w:r>
        <w:rPr>
          <w:rFonts w:hint="eastAsia" w:ascii="仿宋_GB2312" w:eastAsia="仿宋_GB2312"/>
          <w:sz w:val="32"/>
          <w:szCs w:val="32"/>
        </w:rPr>
        <w:t>“</w:t>
      </w:r>
      <w:r>
        <w:rPr>
          <w:rFonts w:ascii="仿宋_GB2312" w:eastAsia="仿宋_GB2312"/>
          <w:sz w:val="32"/>
          <w:szCs w:val="32"/>
        </w:rPr>
        <w:t>十五五</w:t>
      </w:r>
      <w:r>
        <w:rPr>
          <w:rFonts w:hint="eastAsia" w:ascii="仿宋_GB2312" w:eastAsia="仿宋_GB2312"/>
          <w:sz w:val="32"/>
          <w:szCs w:val="32"/>
        </w:rPr>
        <w:t>”</w:t>
      </w:r>
      <w:r>
        <w:rPr>
          <w:rFonts w:ascii="仿宋_GB2312" w:eastAsia="仿宋_GB2312"/>
          <w:sz w:val="32"/>
          <w:szCs w:val="32"/>
        </w:rPr>
        <w:t>发展规划和各部门专项规划，对总体规划中原重点项目清单进行系统更新。本次动态维护共增补重点项目312项。</w:t>
      </w:r>
    </w:p>
    <w:p w14:paraId="1A230913">
      <w:pPr>
        <w:ind w:firstLine="643" w:firstLineChars="200"/>
        <w:rPr>
          <w:rFonts w:hint="eastAsia" w:ascii="黑体" w:hAnsi="黑体" w:eastAsia="黑体"/>
          <w:b/>
          <w:bCs/>
          <w:sz w:val="32"/>
          <w:szCs w:val="32"/>
        </w:rPr>
      </w:pPr>
      <w:r>
        <w:rPr>
          <w:rFonts w:hint="eastAsia" w:ascii="黑体" w:hAnsi="黑体" w:eastAsia="黑体"/>
          <w:b/>
          <w:bCs/>
          <w:sz w:val="32"/>
          <w:szCs w:val="32"/>
        </w:rPr>
        <w:t>注：</w:t>
      </w:r>
      <w:r>
        <w:rPr>
          <w:rFonts w:ascii="黑体" w:hAnsi="黑体" w:eastAsia="黑体"/>
          <w:b/>
          <w:bCs/>
          <w:sz w:val="32"/>
          <w:szCs w:val="32"/>
        </w:rPr>
        <w:t>本动态维护方案最终内容以正式批复成果为准</w:t>
      </w:r>
      <w:r>
        <w:rPr>
          <w:rFonts w:hint="eastAsia" w:ascii="黑体" w:hAnsi="黑体" w:eastAsia="黑体"/>
          <w:b/>
          <w:bCs/>
          <w:sz w:val="32"/>
          <w:szCs w:val="32"/>
        </w:rPr>
        <w:t>。</w:t>
      </w:r>
    </w:p>
    <w:p w14:paraId="07E71898">
      <w:pPr>
        <w:rPr>
          <w:rFonts w:hint="eastAsia"/>
        </w:rPr>
      </w:pPr>
    </w:p>
    <w:p w14:paraId="22C047FF">
      <w:pPr>
        <w:rPr>
          <w:rFonts w:hint="eastAsia"/>
        </w:rPr>
      </w:pPr>
    </w:p>
    <w:p w14:paraId="470CED64">
      <w:pPr>
        <w:rPr>
          <w:rFonts w:hint="eastAsia"/>
        </w:rPr>
      </w:pPr>
    </w:p>
    <w:p w14:paraId="5AA64EA7">
      <w:pPr>
        <w:rPr>
          <w:rFonts w:hint="eastAsia"/>
        </w:rPr>
      </w:pPr>
    </w:p>
    <w:p w14:paraId="6E6EA3A7">
      <w:pPr>
        <w:rPr>
          <w:rFonts w:hint="eastAsia"/>
        </w:rPr>
        <w:sectPr>
          <w:pgSz w:w="11906" w:h="16838"/>
          <w:pgMar w:top="1440" w:right="1800" w:bottom="1440" w:left="1800" w:header="851" w:footer="992" w:gutter="0"/>
          <w:cols w:space="425" w:num="1"/>
          <w:docGrid w:type="lines" w:linePitch="312" w:charSpace="0"/>
        </w:sectPr>
      </w:pPr>
    </w:p>
    <w:p w14:paraId="5074F946">
      <w:pPr>
        <w:jc w:val="center"/>
        <w:rPr>
          <w:rFonts w:hint="eastAsia"/>
        </w:rPr>
      </w:pPr>
      <w:r>
        <w:rPr>
          <w:rFonts w:hint="eastAsia"/>
        </w:rPr>
        <w:drawing>
          <wp:inline distT="0" distB="0" distL="0" distR="0">
            <wp:extent cx="9359900" cy="6622415"/>
            <wp:effectExtent l="0" t="0" r="0" b="6985"/>
            <wp:docPr id="6033882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388200"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9360000" cy="6622724"/>
                    </a:xfrm>
                    <a:prstGeom prst="rect">
                      <a:avLst/>
                    </a:prstGeom>
                  </pic:spPr>
                </pic:pic>
              </a:graphicData>
            </a:graphic>
          </wp:inline>
        </w:drawing>
      </w:r>
    </w:p>
    <w:p w14:paraId="65AD6B3D">
      <w:pPr>
        <w:jc w:val="center"/>
        <w:rPr>
          <w:rFonts w:hint="eastAsia"/>
        </w:rPr>
      </w:pPr>
      <w:r>
        <w:rPr>
          <w:rFonts w:hint="eastAsia"/>
        </w:rPr>
        <w:drawing>
          <wp:inline distT="0" distB="0" distL="0" distR="0">
            <wp:extent cx="9359900" cy="6622415"/>
            <wp:effectExtent l="0" t="0" r="0" b="6985"/>
            <wp:docPr id="10119946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94661"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60000" cy="6622618"/>
                    </a:xfrm>
                    <a:prstGeom prst="rect">
                      <a:avLst/>
                    </a:prstGeom>
                  </pic:spPr>
                </pic:pic>
              </a:graphicData>
            </a:graphic>
          </wp:inline>
        </w:drawing>
      </w: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93D"/>
    <w:rsid w:val="000B2008"/>
    <w:rsid w:val="0016640A"/>
    <w:rsid w:val="001967B3"/>
    <w:rsid w:val="00227C2B"/>
    <w:rsid w:val="00233AA4"/>
    <w:rsid w:val="002647ED"/>
    <w:rsid w:val="002707BF"/>
    <w:rsid w:val="003D28A2"/>
    <w:rsid w:val="003F2E14"/>
    <w:rsid w:val="00457E49"/>
    <w:rsid w:val="00497E26"/>
    <w:rsid w:val="004A20C5"/>
    <w:rsid w:val="004B778F"/>
    <w:rsid w:val="00542D07"/>
    <w:rsid w:val="0058727E"/>
    <w:rsid w:val="005B7F82"/>
    <w:rsid w:val="005E7ACD"/>
    <w:rsid w:val="007D3F42"/>
    <w:rsid w:val="00821BF0"/>
    <w:rsid w:val="008750FA"/>
    <w:rsid w:val="008F6F1C"/>
    <w:rsid w:val="00A77428"/>
    <w:rsid w:val="00AA0B22"/>
    <w:rsid w:val="00B03E34"/>
    <w:rsid w:val="00B24EA8"/>
    <w:rsid w:val="00BB75CF"/>
    <w:rsid w:val="00EB5166"/>
    <w:rsid w:val="00F2093D"/>
    <w:rsid w:val="00F735B2"/>
    <w:rsid w:val="1BF76581"/>
    <w:rsid w:val="49520D56"/>
    <w:rsid w:val="4C5D7320"/>
    <w:rsid w:val="50CE35F5"/>
    <w:rsid w:val="7F8B6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0"/>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2F5597"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18">
    <w:name w:val="标题 4 字符"/>
    <w:basedOn w:val="14"/>
    <w:link w:val="5"/>
    <w:semiHidden/>
    <w:qFormat/>
    <w:uiPriority w:val="9"/>
    <w:rPr>
      <w:rFonts w:cstheme="majorBidi"/>
      <w:color w:val="2F5597" w:themeColor="accent1" w:themeShade="BF"/>
      <w:sz w:val="28"/>
      <w:szCs w:val="28"/>
    </w:rPr>
  </w:style>
  <w:style w:type="character" w:customStyle="1" w:styleId="19">
    <w:name w:val="标题 5 字符"/>
    <w:basedOn w:val="14"/>
    <w:link w:val="6"/>
    <w:semiHidden/>
    <w:uiPriority w:val="9"/>
    <w:rPr>
      <w:rFonts w:cstheme="majorBidi"/>
      <w:color w:val="2F5597" w:themeColor="accent1" w:themeShade="BF"/>
      <w:sz w:val="24"/>
      <w:szCs w:val="24"/>
    </w:rPr>
  </w:style>
  <w:style w:type="character" w:customStyle="1" w:styleId="20">
    <w:name w:val="标题 6 字符"/>
    <w:basedOn w:val="14"/>
    <w:link w:val="7"/>
    <w:semiHidden/>
    <w:qFormat/>
    <w:uiPriority w:val="9"/>
    <w:rPr>
      <w:rFonts w:cstheme="majorBidi"/>
      <w:b/>
      <w:bCs/>
      <w:color w:val="2F5597"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明显引用 字符"/>
    <w:basedOn w:val="14"/>
    <w:link w:val="30"/>
    <w:qFormat/>
    <w:uiPriority w:val="30"/>
    <w:rPr>
      <w:i/>
      <w:iCs/>
      <w:color w:val="2F5597" w:themeColor="accent1" w:themeShade="BF"/>
    </w:rPr>
  </w:style>
  <w:style w:type="character" w:customStyle="1" w:styleId="32">
    <w:name w:val="Intense Reference"/>
    <w:basedOn w:val="14"/>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2378</Words>
  <Characters>2455</Characters>
  <Lines>17</Lines>
  <Paragraphs>4</Paragraphs>
  <TotalTime>127</TotalTime>
  <ScaleCrop>false</ScaleCrop>
  <LinksUpToDate>false</LinksUpToDate>
  <CharactersWithSpaces>2455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2026-08-04T01:23:00Z</dcterms:created>
  <dc:creator>yiyi peng</dc:creator>
  <cp:lastModifiedBy>乐</cp:lastModifiedBy>
  <dcterms:modified xsi:type="dcterms:W3CDTF">2026-08-06T08:52:05Z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eyJoZGlkIjoiOGUxYmE0YWQyNDRhMmFmNTM1ZjljN2E0ZDFiNTcxYzkiLCJ1c2VySWQiOiI1OTY3OTk4MDAifQ==</vt:lpwstr>
  </property>
  <property fmtid="{D5CDD505-2E9C-101B-9397-08002B2CF9AE}" pid="3" name="KSOProductBuildVer">
    <vt:lpwstr>2052-12.1.0.28043</vt:lpwstr>
  </property>
  <property fmtid="{D5CDD505-2E9C-101B-9397-08002B2CF9AE}" pid="4" name="ICV">
    <vt:lpwstr>088C0E73B2FF40DBB78916341F7787AC_13</vt:lpwstr>
  </property>
</Properties>
</file>