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0" w:firstLineChars="0"/>
        <w:jc w:val="center"/>
        <w:rPr>
          <w:rFonts w:ascii="黑体" w:hAnsi="黑体" w:eastAsia="黑体" w:cs="Times New Roman"/>
          <w:b/>
          <w:color w:val="000000"/>
          <w:sz w:val="44"/>
          <w:szCs w:val="44"/>
        </w:rPr>
      </w:pPr>
      <w:r>
        <w:rPr>
          <w:rFonts w:ascii="黑体" w:hAnsi="黑体" w:eastAsia="黑体" w:cs="Times New Roman"/>
          <w:b/>
          <w:color w:val="000000"/>
          <w:sz w:val="44"/>
          <w:szCs w:val="44"/>
        </w:rPr>
        <w:t>湖南省新</w:t>
      </w:r>
      <w:r>
        <w:rPr>
          <w:rFonts w:hint="eastAsia" w:ascii="黑体" w:hAnsi="黑体" w:eastAsia="黑体" w:cs="Times New Roman"/>
          <w:b/>
          <w:color w:val="000000"/>
          <w:sz w:val="44"/>
          <w:szCs w:val="44"/>
        </w:rPr>
        <w:t>晃</w:t>
      </w:r>
      <w:r>
        <w:rPr>
          <w:rFonts w:hint="eastAsia" w:ascii="黑体" w:hAnsi="黑体" w:eastAsia="黑体" w:cs="Times New Roman"/>
          <w:b/>
          <w:color w:val="000000"/>
          <w:sz w:val="44"/>
          <w:szCs w:val="44"/>
          <w:lang w:eastAsia="zh-CN"/>
        </w:rPr>
        <w:t>侗族自治</w:t>
      </w:r>
      <w:r>
        <w:rPr>
          <w:rFonts w:ascii="黑体" w:hAnsi="黑体" w:eastAsia="黑体" w:cs="Times New Roman"/>
          <w:b/>
          <w:color w:val="000000"/>
          <w:sz w:val="44"/>
          <w:szCs w:val="44"/>
        </w:rPr>
        <w:t>县</w:t>
      </w:r>
    </w:p>
    <w:p>
      <w:pPr>
        <w:adjustRightInd w:val="0"/>
        <w:snapToGrid w:val="0"/>
        <w:spacing w:line="360" w:lineRule="auto"/>
        <w:ind w:firstLine="0" w:firstLineChars="0"/>
        <w:jc w:val="center"/>
        <w:rPr>
          <w:rFonts w:ascii="黑体" w:hAnsi="黑体" w:eastAsia="黑体" w:cs="Times New Roman"/>
          <w:b/>
          <w:color w:val="000000"/>
          <w:sz w:val="44"/>
          <w:szCs w:val="44"/>
        </w:rPr>
      </w:pPr>
      <w:r>
        <w:rPr>
          <w:rFonts w:hint="eastAsia" w:ascii="黑体" w:hAnsi="黑体" w:eastAsia="黑体" w:cs="Times New Roman"/>
          <w:b/>
          <w:color w:val="000000"/>
          <w:sz w:val="44"/>
          <w:szCs w:val="44"/>
        </w:rPr>
        <w:t>大中型及重点小型水利工程</w:t>
      </w:r>
    </w:p>
    <w:p>
      <w:pPr>
        <w:adjustRightInd w:val="0"/>
        <w:snapToGrid w:val="0"/>
        <w:spacing w:line="360" w:lineRule="auto"/>
        <w:ind w:firstLine="0" w:firstLineChars="0"/>
        <w:jc w:val="center"/>
        <w:rPr>
          <w:rFonts w:ascii="黑体" w:hAnsi="黑体" w:eastAsia="黑体" w:cs="Times New Roman"/>
          <w:b/>
          <w:color w:val="000000"/>
          <w:sz w:val="44"/>
          <w:szCs w:val="44"/>
        </w:rPr>
      </w:pPr>
      <w:r>
        <w:rPr>
          <w:rFonts w:hint="eastAsia" w:ascii="黑体" w:hAnsi="黑体" w:eastAsia="黑体" w:cs="Times New Roman"/>
          <w:b/>
          <w:color w:val="000000"/>
          <w:sz w:val="44"/>
          <w:szCs w:val="44"/>
        </w:rPr>
        <w:t>管理与保护范围划界方案</w:t>
      </w:r>
    </w:p>
    <w:p>
      <w:pPr>
        <w:spacing w:line="240" w:lineRule="auto"/>
        <w:ind w:firstLine="0" w:firstLineChars="0"/>
        <w:jc w:val="center"/>
        <w:rPr>
          <w:rFonts w:eastAsia="宋体" w:cs="Times New Roman"/>
          <w:sz w:val="36"/>
          <w:szCs w:val="36"/>
        </w:rPr>
      </w:pPr>
    </w:p>
    <w:p>
      <w:pPr>
        <w:spacing w:line="240" w:lineRule="auto"/>
        <w:ind w:firstLine="0" w:firstLineChars="0"/>
        <w:jc w:val="center"/>
        <w:rPr>
          <w:rFonts w:eastAsia="宋体" w:cs="Times New Roman"/>
          <w:sz w:val="36"/>
          <w:szCs w:val="36"/>
        </w:rPr>
      </w:pPr>
    </w:p>
    <w:p>
      <w:pPr>
        <w:spacing w:line="240" w:lineRule="auto"/>
        <w:ind w:firstLine="0" w:firstLineChars="0"/>
        <w:jc w:val="center"/>
        <w:rPr>
          <w:rFonts w:eastAsia="宋体" w:cs="Times New Roman"/>
          <w:sz w:val="36"/>
          <w:szCs w:val="36"/>
        </w:rPr>
      </w:pPr>
    </w:p>
    <w:p>
      <w:pPr>
        <w:spacing w:line="240" w:lineRule="auto"/>
        <w:ind w:firstLine="0" w:firstLineChars="0"/>
        <w:jc w:val="center"/>
        <w:rPr>
          <w:rFonts w:eastAsia="宋体" w:cs="Times New Roman"/>
          <w:sz w:val="36"/>
          <w:szCs w:val="36"/>
        </w:rPr>
      </w:pPr>
    </w:p>
    <w:p>
      <w:pPr>
        <w:spacing w:line="240" w:lineRule="auto"/>
        <w:ind w:firstLine="0" w:firstLineChars="0"/>
        <w:jc w:val="center"/>
        <w:rPr>
          <w:rFonts w:eastAsia="宋体" w:cs="Times New Roman"/>
          <w:sz w:val="36"/>
          <w:szCs w:val="36"/>
        </w:rPr>
      </w:pPr>
    </w:p>
    <w:p>
      <w:pPr>
        <w:spacing w:line="240" w:lineRule="auto"/>
        <w:ind w:firstLine="0" w:firstLineChars="0"/>
        <w:jc w:val="center"/>
        <w:rPr>
          <w:rFonts w:eastAsia="宋体" w:cs="Times New Roman"/>
          <w:sz w:val="36"/>
          <w:szCs w:val="36"/>
        </w:rPr>
      </w:pPr>
    </w:p>
    <w:p>
      <w:pPr>
        <w:adjustRightInd w:val="0"/>
        <w:snapToGrid w:val="0"/>
        <w:spacing w:line="360" w:lineRule="auto"/>
        <w:ind w:left="640" w:leftChars="200" w:firstLine="1600" w:firstLineChars="500"/>
        <w:rPr>
          <w:rFonts w:ascii="宋体" w:hAnsi="宋体" w:eastAsia="宋体" w:cs="Times New Roman"/>
          <w:color w:val="000000"/>
          <w:szCs w:val="32"/>
        </w:rPr>
      </w:pPr>
      <w:r>
        <w:rPr>
          <w:rFonts w:hint="eastAsia" w:ascii="宋体" w:hAnsi="宋体" w:eastAsia="宋体" w:cs="Times New Roman"/>
          <w:color w:val="000000"/>
          <w:szCs w:val="32"/>
          <w:lang w:eastAsia="zh-CN"/>
        </w:rPr>
        <w:t>审批</w:t>
      </w:r>
      <w:r>
        <w:rPr>
          <w:rFonts w:ascii="宋体" w:hAnsi="宋体" w:eastAsia="宋体" w:cs="Times New Roman"/>
          <w:color w:val="000000"/>
          <w:szCs w:val="32"/>
        </w:rPr>
        <w:t>单位：新</w:t>
      </w:r>
      <w:r>
        <w:rPr>
          <w:rFonts w:hint="eastAsia" w:ascii="宋体" w:hAnsi="宋体" w:eastAsia="宋体" w:cs="Times New Roman"/>
          <w:color w:val="000000"/>
          <w:szCs w:val="32"/>
        </w:rPr>
        <w:t>晃侗族自治</w:t>
      </w:r>
      <w:r>
        <w:rPr>
          <w:rFonts w:ascii="宋体" w:hAnsi="宋体" w:eastAsia="宋体" w:cs="Times New Roman"/>
          <w:color w:val="000000"/>
          <w:szCs w:val="32"/>
        </w:rPr>
        <w:t>县人民政府</w:t>
      </w:r>
    </w:p>
    <w:p>
      <w:pPr>
        <w:adjustRightInd w:val="0"/>
        <w:snapToGrid w:val="0"/>
        <w:spacing w:line="360" w:lineRule="auto"/>
        <w:ind w:left="640" w:leftChars="200" w:firstLine="1600" w:firstLineChars="500"/>
        <w:rPr>
          <w:rFonts w:hint="eastAsia" w:ascii="宋体" w:hAnsi="宋体" w:eastAsia="宋体" w:cs="Times New Roman"/>
          <w:color w:val="000000"/>
          <w:szCs w:val="32"/>
          <w:lang w:val="en-US" w:eastAsia="zh-CN"/>
        </w:rPr>
      </w:pPr>
      <w:r>
        <w:rPr>
          <w:rFonts w:hint="eastAsia" w:ascii="宋体" w:hAnsi="宋体" w:eastAsia="宋体" w:cs="Times New Roman"/>
          <w:color w:val="000000"/>
          <w:szCs w:val="32"/>
          <w:lang w:eastAsia="zh-CN"/>
        </w:rPr>
        <w:t>审核单位：怀化市水利局</w:t>
      </w:r>
    </w:p>
    <w:p>
      <w:pPr>
        <w:adjustRightInd w:val="0"/>
        <w:snapToGrid w:val="0"/>
        <w:spacing w:line="360" w:lineRule="auto"/>
        <w:ind w:left="640" w:leftChars="200" w:firstLine="1600" w:firstLineChars="500"/>
        <w:rPr>
          <w:rFonts w:hint="default" w:ascii="宋体" w:hAnsi="宋体" w:eastAsia="宋体" w:cs="Times New Roman"/>
          <w:color w:val="000000"/>
          <w:szCs w:val="32"/>
          <w:lang w:val="en-US" w:eastAsia="zh-CN"/>
        </w:rPr>
      </w:pPr>
      <w:r>
        <w:rPr>
          <w:rFonts w:hint="eastAsia" w:ascii="宋体" w:hAnsi="宋体" w:eastAsia="宋体" w:cs="Times New Roman"/>
          <w:color w:val="000000"/>
          <w:szCs w:val="32"/>
          <w:lang w:val="en-US" w:eastAsia="zh-CN"/>
        </w:rPr>
        <w:t xml:space="preserve">          怀化市自然资源和规划局</w:t>
      </w:r>
    </w:p>
    <w:p>
      <w:pPr>
        <w:adjustRightInd w:val="0"/>
        <w:snapToGrid w:val="0"/>
        <w:spacing w:line="360" w:lineRule="auto"/>
        <w:ind w:left="640" w:leftChars="200" w:firstLine="1600" w:firstLineChars="500"/>
        <w:rPr>
          <w:rFonts w:ascii="宋体" w:hAnsi="宋体" w:eastAsia="宋体" w:cs="Times New Roman"/>
          <w:color w:val="000000"/>
          <w:szCs w:val="32"/>
        </w:rPr>
      </w:pPr>
      <w:r>
        <w:rPr>
          <w:rFonts w:ascii="宋体" w:hAnsi="宋体" w:eastAsia="宋体" w:cs="Times New Roman"/>
          <w:color w:val="000000"/>
          <w:szCs w:val="32"/>
        </w:rPr>
        <w:t>审</w:t>
      </w:r>
      <w:r>
        <w:rPr>
          <w:rFonts w:hint="eastAsia" w:ascii="宋体" w:hAnsi="宋体" w:eastAsia="宋体" w:cs="Times New Roman"/>
          <w:color w:val="000000"/>
          <w:szCs w:val="32"/>
          <w:lang w:eastAsia="zh-CN"/>
        </w:rPr>
        <w:t>查</w:t>
      </w:r>
      <w:r>
        <w:rPr>
          <w:rFonts w:ascii="宋体" w:hAnsi="宋体" w:eastAsia="宋体" w:cs="Times New Roman"/>
          <w:color w:val="000000"/>
          <w:szCs w:val="32"/>
        </w:rPr>
        <w:t>单位：新</w:t>
      </w:r>
      <w:r>
        <w:rPr>
          <w:rFonts w:hint="eastAsia" w:ascii="宋体" w:hAnsi="宋体" w:eastAsia="宋体" w:cs="Times New Roman"/>
          <w:color w:val="000000"/>
          <w:szCs w:val="32"/>
        </w:rPr>
        <w:t>晃侗族自治</w:t>
      </w:r>
      <w:r>
        <w:rPr>
          <w:rFonts w:ascii="宋体" w:hAnsi="宋体" w:eastAsia="宋体" w:cs="Times New Roman"/>
          <w:color w:val="000000"/>
          <w:szCs w:val="32"/>
        </w:rPr>
        <w:t>县水利局</w:t>
      </w:r>
    </w:p>
    <w:p>
      <w:pPr>
        <w:adjustRightInd w:val="0"/>
        <w:snapToGrid w:val="0"/>
        <w:spacing w:line="360" w:lineRule="auto"/>
        <w:ind w:left="640" w:leftChars="200" w:firstLine="3200" w:firstLineChars="1000"/>
        <w:rPr>
          <w:rFonts w:ascii="宋体" w:hAnsi="宋体" w:eastAsia="宋体" w:cs="Times New Roman"/>
          <w:color w:val="000000"/>
          <w:szCs w:val="32"/>
        </w:rPr>
      </w:pPr>
      <w:r>
        <w:rPr>
          <w:rFonts w:ascii="宋体" w:hAnsi="宋体" w:eastAsia="宋体" w:cs="Times New Roman"/>
          <w:color w:val="000000"/>
          <w:szCs w:val="32"/>
        </w:rPr>
        <w:t>新</w:t>
      </w:r>
      <w:r>
        <w:rPr>
          <w:rFonts w:hint="eastAsia" w:ascii="宋体" w:hAnsi="宋体" w:eastAsia="宋体" w:cs="Times New Roman"/>
          <w:color w:val="000000"/>
          <w:szCs w:val="32"/>
        </w:rPr>
        <w:t>晃侗族自治</w:t>
      </w:r>
      <w:r>
        <w:rPr>
          <w:rFonts w:ascii="宋体" w:hAnsi="宋体" w:eastAsia="宋体" w:cs="Times New Roman"/>
          <w:color w:val="000000"/>
          <w:szCs w:val="32"/>
        </w:rPr>
        <w:t>县自然资源局</w:t>
      </w:r>
    </w:p>
    <w:p>
      <w:pPr>
        <w:adjustRightInd w:val="0"/>
        <w:snapToGrid w:val="0"/>
        <w:spacing w:line="360" w:lineRule="auto"/>
        <w:ind w:left="640" w:leftChars="200" w:firstLine="1600" w:firstLineChars="500"/>
        <w:rPr>
          <w:rFonts w:ascii="宋体" w:hAnsi="宋体" w:eastAsia="宋体" w:cs="Times New Roman"/>
          <w:color w:val="000000"/>
          <w:szCs w:val="32"/>
        </w:rPr>
      </w:pPr>
      <w:r>
        <w:rPr>
          <w:rFonts w:ascii="宋体" w:hAnsi="宋体" w:eastAsia="宋体" w:cs="Times New Roman"/>
          <w:color w:val="000000"/>
          <w:szCs w:val="32"/>
        </w:rPr>
        <w:t>编制单位：湖南省第二测绘院</w:t>
      </w:r>
    </w:p>
    <w:p>
      <w:pPr>
        <w:adjustRightInd w:val="0"/>
        <w:snapToGrid w:val="0"/>
        <w:spacing w:line="360" w:lineRule="auto"/>
        <w:ind w:left="640" w:leftChars="200" w:firstLine="2880" w:firstLineChars="900"/>
        <w:rPr>
          <w:rFonts w:ascii="宋体" w:hAnsi="宋体" w:eastAsia="宋体" w:cs="Times New Roman"/>
          <w:color w:val="000000"/>
          <w:szCs w:val="32"/>
        </w:rPr>
      </w:pPr>
    </w:p>
    <w:p>
      <w:pPr>
        <w:adjustRightInd w:val="0"/>
        <w:snapToGrid w:val="0"/>
        <w:spacing w:line="360" w:lineRule="auto"/>
        <w:ind w:left="640" w:leftChars="200" w:firstLine="2880" w:firstLineChars="900"/>
        <w:rPr>
          <w:rFonts w:ascii="宋体" w:hAnsi="宋体" w:eastAsia="宋体" w:cs="Times New Roman"/>
          <w:color w:val="000000"/>
          <w:szCs w:val="32"/>
        </w:rPr>
      </w:pPr>
      <w:r>
        <w:rPr>
          <w:rFonts w:ascii="宋体" w:hAnsi="宋体" w:eastAsia="宋体" w:cs="Times New Roman"/>
          <w:color w:val="000000"/>
          <w:szCs w:val="32"/>
        </w:rPr>
        <w:t>二〇二</w:t>
      </w:r>
      <w:r>
        <w:rPr>
          <w:rFonts w:hint="eastAsia" w:ascii="宋体" w:hAnsi="宋体" w:eastAsia="宋体" w:cs="Times New Roman"/>
          <w:color w:val="000000"/>
          <w:szCs w:val="32"/>
          <w:lang w:eastAsia="zh-CN"/>
        </w:rPr>
        <w:t>一</w:t>
      </w:r>
      <w:r>
        <w:rPr>
          <w:rFonts w:ascii="宋体" w:hAnsi="宋体" w:eastAsia="宋体" w:cs="Times New Roman"/>
          <w:color w:val="000000"/>
          <w:szCs w:val="32"/>
        </w:rPr>
        <w:t>年</w:t>
      </w:r>
      <w:r>
        <w:rPr>
          <w:rFonts w:hint="eastAsia" w:ascii="宋体" w:hAnsi="宋体" w:eastAsia="宋体" w:cs="Times New Roman"/>
          <w:color w:val="000000"/>
          <w:szCs w:val="32"/>
          <w:lang w:eastAsia="zh-CN"/>
        </w:rPr>
        <w:t>四</w:t>
      </w:r>
      <w:r>
        <w:rPr>
          <w:rFonts w:ascii="宋体" w:hAnsi="宋体" w:eastAsia="宋体" w:cs="Times New Roman"/>
          <w:color w:val="000000"/>
          <w:szCs w:val="32"/>
        </w:rPr>
        <w:t>月</w:t>
      </w:r>
    </w:p>
    <w:p>
      <w:pPr>
        <w:widowControl/>
        <w:spacing w:line="240" w:lineRule="auto"/>
        <w:ind w:firstLine="0" w:firstLineChars="0"/>
        <w:jc w:val="left"/>
        <w:rPr>
          <w:rFonts w:hint="default" w:eastAsia="黑体" w:cs="Times New Roman"/>
          <w:b/>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871" w:right="1474" w:bottom="1701" w:left="1474" w:header="851" w:footer="1361" w:gutter="0"/>
          <w:cols w:space="425" w:num="1"/>
          <w:docGrid w:type="lines" w:linePitch="312" w:charSpace="0"/>
        </w:sectPr>
      </w:pPr>
    </w:p>
    <w:sdt>
      <w:sdtPr>
        <w:rPr>
          <w:rFonts w:ascii="宋体" w:hAnsi="宋体" w:eastAsia="宋体" w:cstheme="minorBidi"/>
          <w:kern w:val="2"/>
          <w:sz w:val="36"/>
          <w:szCs w:val="36"/>
          <w:lang w:val="en-US" w:eastAsia="zh-CN" w:bidi="ar-SA"/>
        </w:rPr>
        <w:id w:val="147464392"/>
        <w15:color w:val="DBDBDB"/>
        <w:docPartObj>
          <w:docPartGallery w:val="Table of Contents"/>
          <w:docPartUnique/>
        </w:docPartObj>
      </w:sdtPr>
      <w:sdtEndPr>
        <w:rPr>
          <w:rFonts w:ascii="Times New Roman" w:hAnsi="Times New Roman" w:eastAsia="仿宋_GB2312" w:cstheme="minorBidi"/>
          <w:kern w:val="2"/>
          <w:sz w:val="32"/>
          <w:szCs w:val="22"/>
          <w:lang w:val="en-US" w:eastAsia="zh-CN" w:bidi="ar-SA"/>
        </w:rPr>
      </w:sdtEndPr>
      <w:sdtContent>
        <w:p>
          <w:pPr>
            <w:spacing w:before="0" w:beforeLines="0" w:after="0" w:afterLines="0" w:line="240" w:lineRule="auto"/>
            <w:ind w:left="0" w:leftChars="0" w:right="0" w:rightChars="0" w:firstLine="0" w:firstLineChars="0"/>
            <w:jc w:val="center"/>
            <w:rPr>
              <w:sz w:val="36"/>
              <w:szCs w:val="36"/>
            </w:rPr>
          </w:pPr>
          <w:r>
            <w:rPr>
              <w:rFonts w:ascii="宋体" w:hAnsi="宋体" w:eastAsia="宋体"/>
              <w:sz w:val="36"/>
              <w:szCs w:val="36"/>
            </w:rPr>
            <w:t>目录</w:t>
          </w:r>
        </w:p>
        <w:p>
          <w:pPr>
            <w:pStyle w:val="9"/>
            <w:tabs>
              <w:tab w:val="right" w:leader="dot" w:pos="8958"/>
            </w:tabs>
          </w:pPr>
          <w:r>
            <w:fldChar w:fldCharType="begin"/>
          </w:r>
          <w:r>
            <w:instrText xml:space="preserve">TOC \o "1-3" \h \u </w:instrText>
          </w:r>
          <w:r>
            <w:fldChar w:fldCharType="separate"/>
          </w:r>
          <w:r>
            <w:fldChar w:fldCharType="begin"/>
          </w:r>
          <w:r>
            <w:instrText xml:space="preserve"> HYPERLINK \l _Toc4738 </w:instrText>
          </w:r>
          <w:r>
            <w:fldChar w:fldCharType="separate"/>
          </w:r>
          <w:r>
            <w:t>1 绪论</w:t>
          </w:r>
          <w:r>
            <w:tab/>
          </w:r>
          <w:r>
            <w:fldChar w:fldCharType="begin"/>
          </w:r>
          <w:r>
            <w:instrText xml:space="preserve"> PAGEREF _Toc4738 </w:instrText>
          </w:r>
          <w:r>
            <w:fldChar w:fldCharType="separate"/>
          </w:r>
          <w:r>
            <w:t>1</w:t>
          </w:r>
          <w:r>
            <w:fldChar w:fldCharType="end"/>
          </w:r>
          <w:r>
            <w:fldChar w:fldCharType="end"/>
          </w:r>
        </w:p>
        <w:p>
          <w:pPr>
            <w:pStyle w:val="10"/>
            <w:tabs>
              <w:tab w:val="right" w:leader="dot" w:pos="8958"/>
            </w:tabs>
          </w:pPr>
          <w:r>
            <w:fldChar w:fldCharType="begin"/>
          </w:r>
          <w:r>
            <w:instrText xml:space="preserve"> HYPERLINK \l _Toc17993 </w:instrText>
          </w:r>
          <w:r>
            <w:fldChar w:fldCharType="separate"/>
          </w:r>
          <w:r>
            <w:rPr>
              <w:rFonts w:ascii="Times New Roman" w:hAnsi="Times New Roman" w:cstheme="majorBidi"/>
              <w:bCs/>
              <w:szCs w:val="32"/>
            </w:rPr>
            <w:t>1.1</w:t>
          </w:r>
          <w:r>
            <w:rPr>
              <w:rFonts w:hint="eastAsia" w:ascii="Times New Roman" w:hAnsi="Times New Roman" w:cstheme="majorBidi"/>
              <w:bCs/>
              <w:szCs w:val="32"/>
              <w:lang w:eastAsia="zh-CN"/>
            </w:rPr>
            <w:t>新晃侗族自治县</w:t>
          </w:r>
          <w:r>
            <w:rPr>
              <w:rFonts w:ascii="Times New Roman" w:hAnsi="Times New Roman" w:cstheme="majorBidi"/>
              <w:bCs/>
              <w:szCs w:val="32"/>
            </w:rPr>
            <w:t>基本情况</w:t>
          </w:r>
          <w:r>
            <w:tab/>
          </w:r>
          <w:r>
            <w:fldChar w:fldCharType="begin"/>
          </w:r>
          <w:r>
            <w:instrText xml:space="preserve"> PAGEREF _Toc17993 </w:instrText>
          </w:r>
          <w:r>
            <w:fldChar w:fldCharType="separate"/>
          </w:r>
          <w:r>
            <w:t>2</w:t>
          </w:r>
          <w:r>
            <w:fldChar w:fldCharType="end"/>
          </w:r>
          <w:r>
            <w:fldChar w:fldCharType="end"/>
          </w:r>
        </w:p>
        <w:p>
          <w:pPr>
            <w:pStyle w:val="10"/>
            <w:tabs>
              <w:tab w:val="right" w:leader="dot" w:pos="8958"/>
            </w:tabs>
          </w:pPr>
          <w:r>
            <w:fldChar w:fldCharType="begin"/>
          </w:r>
          <w:r>
            <w:instrText xml:space="preserve"> HYPERLINK \l _Toc2659 </w:instrText>
          </w:r>
          <w:r>
            <w:fldChar w:fldCharType="separate"/>
          </w:r>
          <w:r>
            <w:rPr>
              <w:rFonts w:ascii="Times New Roman" w:hAnsi="Times New Roman" w:cstheme="majorBidi"/>
              <w:bCs/>
              <w:szCs w:val="32"/>
            </w:rPr>
            <w:t>1.2划界依据</w:t>
          </w:r>
          <w:r>
            <w:tab/>
          </w:r>
          <w:r>
            <w:fldChar w:fldCharType="begin"/>
          </w:r>
          <w:r>
            <w:instrText xml:space="preserve"> PAGEREF _Toc2659 </w:instrText>
          </w:r>
          <w:r>
            <w:fldChar w:fldCharType="separate"/>
          </w:r>
          <w:r>
            <w:t>2</w:t>
          </w:r>
          <w:r>
            <w:fldChar w:fldCharType="end"/>
          </w:r>
          <w:r>
            <w:fldChar w:fldCharType="end"/>
          </w:r>
        </w:p>
        <w:p>
          <w:pPr>
            <w:pStyle w:val="6"/>
            <w:tabs>
              <w:tab w:val="right" w:leader="dot" w:pos="8958"/>
            </w:tabs>
          </w:pPr>
          <w:r>
            <w:fldChar w:fldCharType="begin"/>
          </w:r>
          <w:r>
            <w:instrText xml:space="preserve"> HYPERLINK \l _Toc11126 </w:instrText>
          </w:r>
          <w:r>
            <w:fldChar w:fldCharType="separate"/>
          </w:r>
          <w:r>
            <w:rPr>
              <w:bCs/>
              <w:szCs w:val="32"/>
            </w:rPr>
            <w:t>1.2.1法律法规</w:t>
          </w:r>
          <w:r>
            <w:tab/>
          </w:r>
          <w:r>
            <w:fldChar w:fldCharType="begin"/>
          </w:r>
          <w:r>
            <w:instrText xml:space="preserve"> PAGEREF _Toc11126 </w:instrText>
          </w:r>
          <w:r>
            <w:fldChar w:fldCharType="separate"/>
          </w:r>
          <w:r>
            <w:t>2</w:t>
          </w:r>
          <w:r>
            <w:fldChar w:fldCharType="end"/>
          </w:r>
          <w:r>
            <w:fldChar w:fldCharType="end"/>
          </w:r>
        </w:p>
        <w:p>
          <w:pPr>
            <w:pStyle w:val="6"/>
            <w:tabs>
              <w:tab w:val="right" w:leader="dot" w:pos="8958"/>
            </w:tabs>
          </w:pPr>
          <w:r>
            <w:fldChar w:fldCharType="begin"/>
          </w:r>
          <w:r>
            <w:instrText xml:space="preserve"> HYPERLINK \l _Toc7431 </w:instrText>
          </w:r>
          <w:r>
            <w:fldChar w:fldCharType="separate"/>
          </w:r>
          <w:r>
            <w:rPr>
              <w:bCs/>
              <w:szCs w:val="32"/>
            </w:rPr>
            <w:t>1.2.2政策文件</w:t>
          </w:r>
          <w:r>
            <w:tab/>
          </w:r>
          <w:r>
            <w:fldChar w:fldCharType="begin"/>
          </w:r>
          <w:r>
            <w:instrText xml:space="preserve"> PAGEREF _Toc7431 </w:instrText>
          </w:r>
          <w:r>
            <w:fldChar w:fldCharType="separate"/>
          </w:r>
          <w:r>
            <w:t>3</w:t>
          </w:r>
          <w:r>
            <w:fldChar w:fldCharType="end"/>
          </w:r>
          <w:r>
            <w:fldChar w:fldCharType="end"/>
          </w:r>
        </w:p>
        <w:p>
          <w:pPr>
            <w:pStyle w:val="6"/>
            <w:tabs>
              <w:tab w:val="right" w:leader="dot" w:pos="8958"/>
            </w:tabs>
          </w:pPr>
          <w:r>
            <w:fldChar w:fldCharType="begin"/>
          </w:r>
          <w:r>
            <w:instrText xml:space="preserve"> HYPERLINK \l _Toc13099 </w:instrText>
          </w:r>
          <w:r>
            <w:fldChar w:fldCharType="separate"/>
          </w:r>
          <w:r>
            <w:rPr>
              <w:bCs/>
              <w:szCs w:val="32"/>
            </w:rPr>
            <w:t>1.2.3规程规范</w:t>
          </w:r>
          <w:r>
            <w:tab/>
          </w:r>
          <w:r>
            <w:fldChar w:fldCharType="begin"/>
          </w:r>
          <w:r>
            <w:instrText xml:space="preserve"> PAGEREF _Toc13099 </w:instrText>
          </w:r>
          <w:r>
            <w:fldChar w:fldCharType="separate"/>
          </w:r>
          <w:r>
            <w:t>3</w:t>
          </w:r>
          <w:r>
            <w:fldChar w:fldCharType="end"/>
          </w:r>
          <w:r>
            <w:fldChar w:fldCharType="end"/>
          </w:r>
        </w:p>
        <w:p>
          <w:pPr>
            <w:pStyle w:val="10"/>
            <w:tabs>
              <w:tab w:val="right" w:leader="dot" w:pos="8958"/>
            </w:tabs>
          </w:pPr>
          <w:r>
            <w:fldChar w:fldCharType="begin"/>
          </w:r>
          <w:r>
            <w:instrText xml:space="preserve"> HYPERLINK \l _Toc13483 </w:instrText>
          </w:r>
          <w:r>
            <w:fldChar w:fldCharType="separate"/>
          </w:r>
          <w:r>
            <w:rPr>
              <w:rFonts w:ascii="Times New Roman" w:hAnsi="Times New Roman" w:cstheme="majorBidi"/>
              <w:bCs/>
              <w:szCs w:val="32"/>
            </w:rPr>
            <w:t>1.</w:t>
          </w:r>
          <w:r>
            <w:rPr>
              <w:rFonts w:hint="eastAsia" w:ascii="Times New Roman" w:hAnsi="Times New Roman" w:cstheme="majorBidi"/>
              <w:bCs/>
              <w:szCs w:val="32"/>
            </w:rPr>
            <w:t>3</w:t>
          </w:r>
          <w:r>
            <w:rPr>
              <w:rFonts w:ascii="Times New Roman" w:hAnsi="Times New Roman" w:cstheme="majorBidi"/>
              <w:bCs/>
              <w:szCs w:val="32"/>
            </w:rPr>
            <w:t xml:space="preserve"> 划界成果</w:t>
          </w:r>
          <w:r>
            <w:tab/>
          </w:r>
          <w:r>
            <w:fldChar w:fldCharType="begin"/>
          </w:r>
          <w:r>
            <w:instrText xml:space="preserve"> PAGEREF _Toc13483 </w:instrText>
          </w:r>
          <w:r>
            <w:fldChar w:fldCharType="separate"/>
          </w:r>
          <w:r>
            <w:t>5</w:t>
          </w:r>
          <w:r>
            <w:fldChar w:fldCharType="end"/>
          </w:r>
          <w:r>
            <w:fldChar w:fldCharType="end"/>
          </w:r>
        </w:p>
        <w:p>
          <w:pPr>
            <w:pStyle w:val="6"/>
            <w:tabs>
              <w:tab w:val="right" w:leader="dot" w:pos="8958"/>
            </w:tabs>
          </w:pPr>
          <w:r>
            <w:fldChar w:fldCharType="begin"/>
          </w:r>
          <w:r>
            <w:instrText xml:space="preserve"> HYPERLINK \l _Toc5909 </w:instrText>
          </w:r>
          <w:r>
            <w:fldChar w:fldCharType="separate"/>
          </w:r>
          <w:r>
            <w:rPr>
              <w:rFonts w:hint="eastAsia"/>
              <w:bCs/>
              <w:szCs w:val="32"/>
            </w:rPr>
            <w:t>1</w:t>
          </w:r>
          <w:r>
            <w:rPr>
              <w:bCs/>
              <w:szCs w:val="32"/>
            </w:rPr>
            <w:t>.</w:t>
          </w:r>
          <w:r>
            <w:rPr>
              <w:rFonts w:hint="eastAsia"/>
              <w:bCs/>
              <w:szCs w:val="32"/>
            </w:rPr>
            <w:t>3</w:t>
          </w:r>
          <w:r>
            <w:rPr>
              <w:bCs/>
              <w:szCs w:val="32"/>
            </w:rPr>
            <w:t xml:space="preserve">.1 </w:t>
          </w:r>
          <w:r>
            <w:rPr>
              <w:rFonts w:hint="eastAsia"/>
              <w:bCs/>
              <w:szCs w:val="32"/>
            </w:rPr>
            <w:t>文字报告</w:t>
          </w:r>
          <w:r>
            <w:tab/>
          </w:r>
          <w:r>
            <w:fldChar w:fldCharType="begin"/>
          </w:r>
          <w:r>
            <w:instrText xml:space="preserve"> PAGEREF _Toc5909 </w:instrText>
          </w:r>
          <w:r>
            <w:fldChar w:fldCharType="separate"/>
          </w:r>
          <w:r>
            <w:t>5</w:t>
          </w:r>
          <w:r>
            <w:fldChar w:fldCharType="end"/>
          </w:r>
          <w:r>
            <w:fldChar w:fldCharType="end"/>
          </w:r>
        </w:p>
        <w:p>
          <w:pPr>
            <w:pStyle w:val="6"/>
            <w:tabs>
              <w:tab w:val="right" w:leader="dot" w:pos="8958"/>
            </w:tabs>
          </w:pPr>
          <w:r>
            <w:fldChar w:fldCharType="begin"/>
          </w:r>
          <w:r>
            <w:instrText xml:space="preserve"> HYPERLINK \l _Toc25355 </w:instrText>
          </w:r>
          <w:r>
            <w:fldChar w:fldCharType="separate"/>
          </w:r>
          <w:r>
            <w:rPr>
              <w:rFonts w:hint="eastAsia"/>
              <w:bCs/>
              <w:szCs w:val="32"/>
            </w:rPr>
            <w:t>1.3.2 数据库</w:t>
          </w:r>
          <w:r>
            <w:tab/>
          </w:r>
          <w:r>
            <w:fldChar w:fldCharType="begin"/>
          </w:r>
          <w:r>
            <w:instrText xml:space="preserve"> PAGEREF _Toc25355 </w:instrText>
          </w:r>
          <w:r>
            <w:fldChar w:fldCharType="separate"/>
          </w:r>
          <w:r>
            <w:t>5</w:t>
          </w:r>
          <w:r>
            <w:fldChar w:fldCharType="end"/>
          </w:r>
          <w:r>
            <w:fldChar w:fldCharType="end"/>
          </w:r>
        </w:p>
        <w:p>
          <w:pPr>
            <w:pStyle w:val="6"/>
            <w:tabs>
              <w:tab w:val="right" w:leader="dot" w:pos="8958"/>
            </w:tabs>
          </w:pPr>
          <w:r>
            <w:fldChar w:fldCharType="begin"/>
          </w:r>
          <w:r>
            <w:instrText xml:space="preserve"> HYPERLINK \l _Toc28090 </w:instrText>
          </w:r>
          <w:r>
            <w:fldChar w:fldCharType="separate"/>
          </w:r>
          <w:r>
            <w:rPr>
              <w:rFonts w:hint="eastAsia"/>
              <w:bCs/>
              <w:szCs w:val="32"/>
            </w:rPr>
            <w:t>1.3.3 图件成果</w:t>
          </w:r>
          <w:r>
            <w:tab/>
          </w:r>
          <w:r>
            <w:fldChar w:fldCharType="begin"/>
          </w:r>
          <w:r>
            <w:instrText xml:space="preserve"> PAGEREF _Toc28090 </w:instrText>
          </w:r>
          <w:r>
            <w:fldChar w:fldCharType="separate"/>
          </w:r>
          <w:r>
            <w:t>5</w:t>
          </w:r>
          <w:r>
            <w:fldChar w:fldCharType="end"/>
          </w:r>
          <w:r>
            <w:fldChar w:fldCharType="end"/>
          </w:r>
        </w:p>
        <w:p>
          <w:pPr>
            <w:pStyle w:val="6"/>
            <w:tabs>
              <w:tab w:val="right" w:leader="dot" w:pos="8958"/>
            </w:tabs>
          </w:pPr>
          <w:r>
            <w:fldChar w:fldCharType="begin"/>
          </w:r>
          <w:r>
            <w:instrText xml:space="preserve"> HYPERLINK \l _Toc26982 </w:instrText>
          </w:r>
          <w:r>
            <w:fldChar w:fldCharType="separate"/>
          </w:r>
          <w:r>
            <w:rPr>
              <w:rFonts w:hint="eastAsia"/>
              <w:bCs/>
              <w:szCs w:val="32"/>
            </w:rPr>
            <w:t>1.3.4 表格成果</w:t>
          </w:r>
          <w:r>
            <w:tab/>
          </w:r>
          <w:r>
            <w:fldChar w:fldCharType="begin"/>
          </w:r>
          <w:r>
            <w:instrText xml:space="preserve"> PAGEREF _Toc26982 </w:instrText>
          </w:r>
          <w:r>
            <w:fldChar w:fldCharType="separate"/>
          </w:r>
          <w:r>
            <w:t>6</w:t>
          </w:r>
          <w:r>
            <w:fldChar w:fldCharType="end"/>
          </w:r>
          <w:r>
            <w:fldChar w:fldCharType="end"/>
          </w:r>
        </w:p>
        <w:p>
          <w:pPr>
            <w:pStyle w:val="6"/>
            <w:tabs>
              <w:tab w:val="right" w:leader="dot" w:pos="8958"/>
            </w:tabs>
          </w:pPr>
          <w:r>
            <w:fldChar w:fldCharType="begin"/>
          </w:r>
          <w:r>
            <w:instrText xml:space="preserve"> HYPERLINK \l _Toc11502 </w:instrText>
          </w:r>
          <w:r>
            <w:fldChar w:fldCharType="separate"/>
          </w:r>
          <w:r>
            <w:rPr>
              <w:rFonts w:hint="eastAsia"/>
              <w:bCs/>
              <w:szCs w:val="32"/>
            </w:rPr>
            <w:t>1.3.5 其它成果</w:t>
          </w:r>
          <w:r>
            <w:tab/>
          </w:r>
          <w:r>
            <w:fldChar w:fldCharType="begin"/>
          </w:r>
          <w:r>
            <w:instrText xml:space="preserve"> PAGEREF _Toc11502 </w:instrText>
          </w:r>
          <w:r>
            <w:fldChar w:fldCharType="separate"/>
          </w:r>
          <w:r>
            <w:t>6</w:t>
          </w:r>
          <w:r>
            <w:fldChar w:fldCharType="end"/>
          </w:r>
          <w:r>
            <w:fldChar w:fldCharType="end"/>
          </w:r>
        </w:p>
        <w:p>
          <w:pPr>
            <w:pStyle w:val="9"/>
            <w:tabs>
              <w:tab w:val="right" w:leader="dot" w:pos="8958"/>
            </w:tabs>
          </w:pPr>
          <w:r>
            <w:fldChar w:fldCharType="begin"/>
          </w:r>
          <w:r>
            <w:instrText xml:space="preserve"> HYPERLINK \l _Toc24993 </w:instrText>
          </w:r>
          <w:r>
            <w:fldChar w:fldCharType="separate"/>
          </w:r>
          <w:r>
            <w:t>2水利工程基本情况</w:t>
          </w:r>
          <w:r>
            <w:tab/>
          </w:r>
          <w:r>
            <w:fldChar w:fldCharType="begin"/>
          </w:r>
          <w:r>
            <w:instrText xml:space="preserve"> PAGEREF _Toc24993 </w:instrText>
          </w:r>
          <w:r>
            <w:fldChar w:fldCharType="separate"/>
          </w:r>
          <w:r>
            <w:t>6</w:t>
          </w:r>
          <w:r>
            <w:fldChar w:fldCharType="end"/>
          </w:r>
          <w:r>
            <w:fldChar w:fldCharType="end"/>
          </w:r>
        </w:p>
        <w:p>
          <w:pPr>
            <w:pStyle w:val="10"/>
            <w:tabs>
              <w:tab w:val="right" w:leader="dot" w:pos="8958"/>
            </w:tabs>
          </w:pPr>
          <w:r>
            <w:fldChar w:fldCharType="begin"/>
          </w:r>
          <w:r>
            <w:instrText xml:space="preserve"> HYPERLINK \l _Toc7380 </w:instrText>
          </w:r>
          <w:r>
            <w:fldChar w:fldCharType="separate"/>
          </w:r>
          <w:r>
            <w:rPr>
              <w:rFonts w:ascii="Times New Roman" w:hAnsi="Times New Roman" w:cstheme="majorBidi"/>
              <w:bCs/>
              <w:szCs w:val="32"/>
            </w:rPr>
            <w:t>2.1水利工程分布情况</w:t>
          </w:r>
          <w:r>
            <w:tab/>
          </w:r>
          <w:r>
            <w:fldChar w:fldCharType="begin"/>
          </w:r>
          <w:r>
            <w:instrText xml:space="preserve"> PAGEREF _Toc7380 </w:instrText>
          </w:r>
          <w:r>
            <w:fldChar w:fldCharType="separate"/>
          </w:r>
          <w:r>
            <w:t>6</w:t>
          </w:r>
          <w:r>
            <w:fldChar w:fldCharType="end"/>
          </w:r>
          <w:r>
            <w:fldChar w:fldCharType="end"/>
          </w:r>
        </w:p>
        <w:p>
          <w:pPr>
            <w:pStyle w:val="6"/>
            <w:tabs>
              <w:tab w:val="right" w:leader="dot" w:pos="8958"/>
            </w:tabs>
          </w:pPr>
          <w:r>
            <w:fldChar w:fldCharType="begin"/>
          </w:r>
          <w:r>
            <w:instrText xml:space="preserve"> HYPERLINK \l _Toc6598 </w:instrText>
          </w:r>
          <w:r>
            <w:fldChar w:fldCharType="separate"/>
          </w:r>
          <w:r>
            <w:rPr>
              <w:rFonts w:hint="eastAsia"/>
              <w:bCs/>
              <w:szCs w:val="32"/>
            </w:rPr>
            <w:t>2.1.1 水库基本信息</w:t>
          </w:r>
          <w:r>
            <w:tab/>
          </w:r>
          <w:r>
            <w:fldChar w:fldCharType="begin"/>
          </w:r>
          <w:r>
            <w:instrText xml:space="preserve"> PAGEREF _Toc6598 </w:instrText>
          </w:r>
          <w:r>
            <w:fldChar w:fldCharType="separate"/>
          </w:r>
          <w:r>
            <w:t>9</w:t>
          </w:r>
          <w:r>
            <w:fldChar w:fldCharType="end"/>
          </w:r>
          <w:r>
            <w:fldChar w:fldCharType="end"/>
          </w:r>
        </w:p>
        <w:p>
          <w:pPr>
            <w:pStyle w:val="6"/>
            <w:tabs>
              <w:tab w:val="right" w:leader="dot" w:pos="8958"/>
            </w:tabs>
          </w:pPr>
          <w:r>
            <w:fldChar w:fldCharType="begin"/>
          </w:r>
          <w:r>
            <w:instrText xml:space="preserve"> HYPERLINK \l _Toc10235 </w:instrText>
          </w:r>
          <w:r>
            <w:fldChar w:fldCharType="separate"/>
          </w:r>
          <w:r>
            <w:rPr>
              <w:rFonts w:hint="eastAsia"/>
              <w:bCs/>
              <w:szCs w:val="32"/>
            </w:rPr>
            <w:t>2.1.2 水闸基本信息</w:t>
          </w:r>
          <w:r>
            <w:tab/>
          </w:r>
          <w:r>
            <w:fldChar w:fldCharType="begin"/>
          </w:r>
          <w:r>
            <w:instrText xml:space="preserve"> PAGEREF _Toc10235 </w:instrText>
          </w:r>
          <w:r>
            <w:fldChar w:fldCharType="separate"/>
          </w:r>
          <w:r>
            <w:t>11</w:t>
          </w:r>
          <w:r>
            <w:fldChar w:fldCharType="end"/>
          </w:r>
          <w:r>
            <w:fldChar w:fldCharType="end"/>
          </w:r>
        </w:p>
        <w:p>
          <w:pPr>
            <w:pStyle w:val="9"/>
            <w:tabs>
              <w:tab w:val="right" w:leader="dot" w:pos="8958"/>
            </w:tabs>
          </w:pPr>
          <w:r>
            <w:fldChar w:fldCharType="begin"/>
          </w:r>
          <w:r>
            <w:instrText xml:space="preserve"> HYPERLINK \l _Toc31788 </w:instrText>
          </w:r>
          <w:r>
            <w:fldChar w:fldCharType="separate"/>
          </w:r>
          <w:r>
            <w:rPr>
              <w:rFonts w:hint="eastAsia"/>
              <w:lang w:val="en-US" w:eastAsia="zh-CN"/>
            </w:rPr>
            <w:t>3</w:t>
          </w:r>
          <w:r>
            <w:t>管理与保护范围线标绘</w:t>
          </w:r>
          <w:r>
            <w:tab/>
          </w:r>
          <w:r>
            <w:fldChar w:fldCharType="begin"/>
          </w:r>
          <w:r>
            <w:instrText xml:space="preserve"> PAGEREF _Toc31788 </w:instrText>
          </w:r>
          <w:r>
            <w:fldChar w:fldCharType="separate"/>
          </w:r>
          <w:r>
            <w:t>11</w:t>
          </w:r>
          <w:r>
            <w:fldChar w:fldCharType="end"/>
          </w:r>
          <w:r>
            <w:fldChar w:fldCharType="end"/>
          </w:r>
        </w:p>
        <w:p>
          <w:pPr>
            <w:pStyle w:val="10"/>
            <w:tabs>
              <w:tab w:val="right" w:leader="dot" w:pos="8958"/>
            </w:tabs>
          </w:pPr>
          <w:r>
            <w:fldChar w:fldCharType="begin"/>
          </w:r>
          <w:r>
            <w:instrText xml:space="preserve"> HYPERLINK \l _Toc6490 </w:instrText>
          </w:r>
          <w:r>
            <w:fldChar w:fldCharType="separate"/>
          </w:r>
          <w:r>
            <w:rPr>
              <w:rFonts w:hint="eastAsia" w:ascii="Times New Roman" w:hAnsi="Times New Roman" w:cstheme="majorBidi"/>
              <w:bCs/>
              <w:szCs w:val="32"/>
              <w:lang w:val="en-US" w:eastAsia="zh-CN"/>
            </w:rPr>
            <w:t>3</w:t>
          </w:r>
          <w:r>
            <w:rPr>
              <w:rFonts w:ascii="Times New Roman" w:hAnsi="Times New Roman" w:cstheme="majorBidi"/>
              <w:bCs/>
              <w:szCs w:val="32"/>
            </w:rPr>
            <w:t>.1 库区设计洪水位线分析计算</w:t>
          </w:r>
          <w:r>
            <w:tab/>
          </w:r>
          <w:r>
            <w:fldChar w:fldCharType="begin"/>
          </w:r>
          <w:r>
            <w:instrText xml:space="preserve"> PAGEREF _Toc6490 </w:instrText>
          </w:r>
          <w:r>
            <w:fldChar w:fldCharType="separate"/>
          </w:r>
          <w:r>
            <w:t>11</w:t>
          </w:r>
          <w:r>
            <w:fldChar w:fldCharType="end"/>
          </w:r>
          <w:r>
            <w:fldChar w:fldCharType="end"/>
          </w:r>
        </w:p>
        <w:p>
          <w:pPr>
            <w:pStyle w:val="6"/>
            <w:tabs>
              <w:tab w:val="right" w:leader="dot" w:pos="8958"/>
            </w:tabs>
            <w:sectPr>
              <w:footerReference r:id="rId9" w:type="default"/>
              <w:pgSz w:w="11906" w:h="16838"/>
              <w:pgMar w:top="1871" w:right="1474" w:bottom="1701" w:left="1474" w:header="851" w:footer="1361" w:gutter="0"/>
              <w:pgNumType w:start="1"/>
              <w:cols w:space="425" w:num="1"/>
              <w:docGrid w:type="lines" w:linePitch="435" w:charSpace="0"/>
            </w:sectPr>
          </w:pPr>
        </w:p>
        <w:p>
          <w:pPr>
            <w:pStyle w:val="6"/>
            <w:tabs>
              <w:tab w:val="right" w:leader="dot" w:pos="8958"/>
            </w:tabs>
          </w:pPr>
          <w:r>
            <w:fldChar w:fldCharType="begin"/>
          </w:r>
          <w:r>
            <w:instrText xml:space="preserve"> HYPERLINK \l _Toc29182 </w:instrText>
          </w:r>
          <w:r>
            <w:fldChar w:fldCharType="separate"/>
          </w:r>
          <w:r>
            <w:rPr>
              <w:rFonts w:hint="eastAsia"/>
              <w:bCs/>
              <w:szCs w:val="32"/>
              <w:lang w:val="en-US" w:eastAsia="zh-CN"/>
            </w:rPr>
            <w:t>3</w:t>
          </w:r>
          <w:r>
            <w:rPr>
              <w:rFonts w:hint="eastAsia"/>
              <w:bCs/>
              <w:szCs w:val="32"/>
            </w:rPr>
            <w:t>.1.1 规程与依据</w:t>
          </w:r>
          <w:r>
            <w:tab/>
          </w:r>
          <w:r>
            <w:fldChar w:fldCharType="begin"/>
          </w:r>
          <w:r>
            <w:instrText xml:space="preserve"> PAGEREF _Toc29182 </w:instrText>
          </w:r>
          <w:r>
            <w:fldChar w:fldCharType="separate"/>
          </w:r>
          <w:r>
            <w:t>11</w:t>
          </w:r>
          <w:r>
            <w:fldChar w:fldCharType="end"/>
          </w:r>
          <w:r>
            <w:fldChar w:fldCharType="end"/>
          </w:r>
        </w:p>
        <w:p>
          <w:pPr>
            <w:pStyle w:val="6"/>
            <w:tabs>
              <w:tab w:val="right" w:leader="dot" w:pos="8958"/>
            </w:tabs>
          </w:pPr>
          <w:r>
            <w:fldChar w:fldCharType="begin"/>
          </w:r>
          <w:r>
            <w:instrText xml:space="preserve"> HYPERLINK \l _Toc7991 </w:instrText>
          </w:r>
          <w:r>
            <w:fldChar w:fldCharType="separate"/>
          </w:r>
          <w:r>
            <w:rPr>
              <w:rFonts w:hint="eastAsia"/>
              <w:bCs/>
              <w:szCs w:val="32"/>
              <w:lang w:val="en-US" w:eastAsia="zh-CN"/>
            </w:rPr>
            <w:t>3.1.2 水库的设计洪水位线</w:t>
          </w:r>
          <w:r>
            <w:tab/>
          </w:r>
          <w:r>
            <w:fldChar w:fldCharType="begin"/>
          </w:r>
          <w:r>
            <w:instrText xml:space="preserve"> PAGEREF _Toc7991 </w:instrText>
          </w:r>
          <w:r>
            <w:fldChar w:fldCharType="separate"/>
          </w:r>
          <w:r>
            <w:t>13</w:t>
          </w:r>
          <w:r>
            <w:fldChar w:fldCharType="end"/>
          </w:r>
          <w:r>
            <w:fldChar w:fldCharType="end"/>
          </w:r>
        </w:p>
        <w:p>
          <w:pPr>
            <w:pStyle w:val="10"/>
            <w:tabs>
              <w:tab w:val="right" w:leader="dot" w:pos="8958"/>
            </w:tabs>
          </w:pPr>
          <w:r>
            <w:fldChar w:fldCharType="begin"/>
          </w:r>
          <w:r>
            <w:instrText xml:space="preserve"> HYPERLINK \l _Toc23308 </w:instrText>
          </w:r>
          <w:r>
            <w:fldChar w:fldCharType="separate"/>
          </w:r>
          <w:r>
            <w:rPr>
              <w:rFonts w:hint="eastAsia" w:ascii="Times New Roman" w:hAnsi="Times New Roman" w:cstheme="majorBidi"/>
              <w:bCs/>
              <w:szCs w:val="32"/>
              <w:lang w:val="en-US" w:eastAsia="zh-CN"/>
            </w:rPr>
            <w:t>3.2 管理与保护范围线标绘</w:t>
          </w:r>
          <w:r>
            <w:tab/>
          </w:r>
          <w:r>
            <w:fldChar w:fldCharType="begin"/>
          </w:r>
          <w:r>
            <w:instrText xml:space="preserve"> PAGEREF _Toc23308 </w:instrText>
          </w:r>
          <w:r>
            <w:fldChar w:fldCharType="separate"/>
          </w:r>
          <w:r>
            <w:t>14</w:t>
          </w:r>
          <w:r>
            <w:fldChar w:fldCharType="end"/>
          </w:r>
          <w:r>
            <w:fldChar w:fldCharType="end"/>
          </w:r>
        </w:p>
        <w:p>
          <w:pPr>
            <w:pStyle w:val="6"/>
            <w:tabs>
              <w:tab w:val="right" w:leader="dot" w:pos="8958"/>
            </w:tabs>
          </w:pPr>
          <w:r>
            <w:fldChar w:fldCharType="begin"/>
          </w:r>
          <w:r>
            <w:instrText xml:space="preserve"> HYPERLINK \l _Toc25151 </w:instrText>
          </w:r>
          <w:r>
            <w:fldChar w:fldCharType="separate"/>
          </w:r>
          <w:r>
            <w:rPr>
              <w:rFonts w:hint="eastAsia"/>
              <w:bCs/>
              <w:szCs w:val="32"/>
              <w:lang w:val="en-US" w:eastAsia="zh-CN"/>
            </w:rPr>
            <w:t>3.2.1 水库</w:t>
          </w:r>
          <w:r>
            <w:tab/>
          </w:r>
          <w:r>
            <w:fldChar w:fldCharType="begin"/>
          </w:r>
          <w:r>
            <w:instrText xml:space="preserve"> PAGEREF _Toc25151 </w:instrText>
          </w:r>
          <w:r>
            <w:fldChar w:fldCharType="separate"/>
          </w:r>
          <w:r>
            <w:t>14</w:t>
          </w:r>
          <w:r>
            <w:fldChar w:fldCharType="end"/>
          </w:r>
          <w:r>
            <w:fldChar w:fldCharType="end"/>
          </w:r>
        </w:p>
        <w:p>
          <w:pPr>
            <w:pStyle w:val="6"/>
            <w:tabs>
              <w:tab w:val="right" w:leader="dot" w:pos="8958"/>
            </w:tabs>
          </w:pPr>
          <w:r>
            <w:fldChar w:fldCharType="begin"/>
          </w:r>
          <w:r>
            <w:instrText xml:space="preserve"> HYPERLINK \l _Toc19715 </w:instrText>
          </w:r>
          <w:r>
            <w:fldChar w:fldCharType="separate"/>
          </w:r>
          <w:r>
            <w:rPr>
              <w:rFonts w:hint="eastAsia"/>
              <w:bCs/>
              <w:szCs w:val="32"/>
              <w:lang w:val="en-US" w:eastAsia="zh-CN"/>
            </w:rPr>
            <w:t>3.2.2 水闸</w:t>
          </w:r>
          <w:r>
            <w:tab/>
          </w:r>
          <w:r>
            <w:fldChar w:fldCharType="begin"/>
          </w:r>
          <w:r>
            <w:instrText xml:space="preserve"> PAGEREF _Toc19715 </w:instrText>
          </w:r>
          <w:r>
            <w:fldChar w:fldCharType="separate"/>
          </w:r>
          <w:r>
            <w:t>21</w:t>
          </w:r>
          <w:r>
            <w:fldChar w:fldCharType="end"/>
          </w:r>
          <w:r>
            <w:fldChar w:fldCharType="end"/>
          </w:r>
        </w:p>
        <w:p>
          <w:pPr>
            <w:pStyle w:val="10"/>
            <w:tabs>
              <w:tab w:val="right" w:leader="dot" w:pos="8958"/>
            </w:tabs>
          </w:pPr>
          <w:r>
            <w:fldChar w:fldCharType="begin"/>
          </w:r>
          <w:r>
            <w:instrText xml:space="preserve"> HYPERLINK \l _Toc14931 </w:instrText>
          </w:r>
          <w:r>
            <w:fldChar w:fldCharType="separate"/>
          </w:r>
          <w:r>
            <w:rPr>
              <w:rFonts w:hint="eastAsia" w:ascii="Times New Roman" w:hAnsi="Times New Roman" w:cstheme="majorBidi"/>
              <w:bCs/>
              <w:szCs w:val="32"/>
              <w:lang w:val="en-US" w:eastAsia="zh-CN"/>
            </w:rPr>
            <w:t>3.3 电子桩和电子告示牌布设</w:t>
          </w:r>
          <w:r>
            <w:tab/>
          </w:r>
          <w:r>
            <w:fldChar w:fldCharType="begin"/>
          </w:r>
          <w:r>
            <w:instrText xml:space="preserve"> PAGEREF _Toc14931 </w:instrText>
          </w:r>
          <w:r>
            <w:fldChar w:fldCharType="separate"/>
          </w:r>
          <w:r>
            <w:t>22</w:t>
          </w:r>
          <w:r>
            <w:fldChar w:fldCharType="end"/>
          </w:r>
          <w:r>
            <w:fldChar w:fldCharType="end"/>
          </w:r>
        </w:p>
        <w:p>
          <w:pPr>
            <w:pStyle w:val="6"/>
            <w:tabs>
              <w:tab w:val="right" w:leader="dot" w:pos="8958"/>
            </w:tabs>
          </w:pPr>
          <w:r>
            <w:fldChar w:fldCharType="begin"/>
          </w:r>
          <w:r>
            <w:instrText xml:space="preserve"> HYPERLINK \l _Toc7549 </w:instrText>
          </w:r>
          <w:r>
            <w:fldChar w:fldCharType="separate"/>
          </w:r>
          <w:r>
            <w:rPr>
              <w:rFonts w:hint="eastAsia"/>
              <w:bCs/>
              <w:szCs w:val="32"/>
              <w:lang w:val="en-US" w:eastAsia="zh-CN"/>
            </w:rPr>
            <w:t>3.3.1 电子桩和电子告示牌布设总体原则</w:t>
          </w:r>
          <w:r>
            <w:tab/>
          </w:r>
          <w:r>
            <w:fldChar w:fldCharType="begin"/>
          </w:r>
          <w:r>
            <w:instrText xml:space="preserve"> PAGEREF _Toc7549 </w:instrText>
          </w:r>
          <w:r>
            <w:fldChar w:fldCharType="separate"/>
          </w:r>
          <w:r>
            <w:t>22</w:t>
          </w:r>
          <w:r>
            <w:fldChar w:fldCharType="end"/>
          </w:r>
          <w:r>
            <w:fldChar w:fldCharType="end"/>
          </w:r>
        </w:p>
        <w:p>
          <w:pPr>
            <w:pStyle w:val="6"/>
            <w:tabs>
              <w:tab w:val="right" w:leader="dot" w:pos="8958"/>
            </w:tabs>
          </w:pPr>
          <w:r>
            <w:fldChar w:fldCharType="begin"/>
          </w:r>
          <w:r>
            <w:instrText xml:space="preserve"> HYPERLINK \l _Toc5854 </w:instrText>
          </w:r>
          <w:r>
            <w:fldChar w:fldCharType="separate"/>
          </w:r>
          <w:r>
            <w:rPr>
              <w:rFonts w:hint="eastAsia"/>
              <w:bCs/>
              <w:szCs w:val="32"/>
              <w:lang w:val="en-US" w:eastAsia="zh-CN"/>
            </w:rPr>
            <w:t>3.3.2 电子桩和电子告示牌布设密度</w:t>
          </w:r>
          <w:r>
            <w:tab/>
          </w:r>
          <w:r>
            <w:fldChar w:fldCharType="begin"/>
          </w:r>
          <w:r>
            <w:instrText xml:space="preserve"> PAGEREF _Toc5854 </w:instrText>
          </w:r>
          <w:r>
            <w:fldChar w:fldCharType="separate"/>
          </w:r>
          <w:r>
            <w:t>23</w:t>
          </w:r>
          <w:r>
            <w:fldChar w:fldCharType="end"/>
          </w:r>
          <w:r>
            <w:fldChar w:fldCharType="end"/>
          </w:r>
        </w:p>
        <w:p>
          <w:pPr>
            <w:pStyle w:val="6"/>
            <w:tabs>
              <w:tab w:val="right" w:leader="dot" w:pos="8958"/>
            </w:tabs>
          </w:pPr>
          <w:r>
            <w:fldChar w:fldCharType="begin"/>
          </w:r>
          <w:r>
            <w:instrText xml:space="preserve"> HYPERLINK \l _Toc5519 </w:instrText>
          </w:r>
          <w:r>
            <w:fldChar w:fldCharType="separate"/>
          </w:r>
          <w:r>
            <w:rPr>
              <w:rFonts w:hint="eastAsia"/>
              <w:bCs/>
              <w:szCs w:val="32"/>
              <w:lang w:val="en-US" w:eastAsia="zh-CN"/>
            </w:rPr>
            <w:t>3.3.3 管理与保护范围界桩编号原则</w:t>
          </w:r>
          <w:r>
            <w:tab/>
          </w:r>
          <w:r>
            <w:fldChar w:fldCharType="begin"/>
          </w:r>
          <w:r>
            <w:instrText xml:space="preserve"> PAGEREF _Toc5519 </w:instrText>
          </w:r>
          <w:r>
            <w:fldChar w:fldCharType="separate"/>
          </w:r>
          <w:r>
            <w:t>23</w:t>
          </w:r>
          <w:r>
            <w:fldChar w:fldCharType="end"/>
          </w:r>
          <w:r>
            <w:fldChar w:fldCharType="end"/>
          </w:r>
        </w:p>
        <w:p>
          <w:pPr>
            <w:pStyle w:val="6"/>
            <w:tabs>
              <w:tab w:val="right" w:leader="dot" w:pos="8958"/>
            </w:tabs>
          </w:pPr>
          <w:r>
            <w:fldChar w:fldCharType="begin"/>
          </w:r>
          <w:r>
            <w:instrText xml:space="preserve"> HYPERLINK \l _Toc7851 </w:instrText>
          </w:r>
          <w:r>
            <w:fldChar w:fldCharType="separate"/>
          </w:r>
          <w:r>
            <w:rPr>
              <w:rFonts w:hint="eastAsia"/>
              <w:bCs/>
              <w:szCs w:val="32"/>
              <w:lang w:val="en-US" w:eastAsia="zh-CN"/>
            </w:rPr>
            <w:t>3.3.4 管理与保护范围界桩编码规则</w:t>
          </w:r>
          <w:r>
            <w:tab/>
          </w:r>
          <w:r>
            <w:fldChar w:fldCharType="begin"/>
          </w:r>
          <w:r>
            <w:instrText xml:space="preserve"> PAGEREF _Toc7851 </w:instrText>
          </w:r>
          <w:r>
            <w:fldChar w:fldCharType="separate"/>
          </w:r>
          <w:r>
            <w:t>23</w:t>
          </w:r>
          <w:r>
            <w:fldChar w:fldCharType="end"/>
          </w:r>
          <w:r>
            <w:fldChar w:fldCharType="end"/>
          </w:r>
        </w:p>
        <w:p>
          <w:pPr>
            <w:pStyle w:val="6"/>
            <w:tabs>
              <w:tab w:val="right" w:leader="dot" w:pos="8958"/>
            </w:tabs>
          </w:pPr>
          <w:r>
            <w:fldChar w:fldCharType="begin"/>
          </w:r>
          <w:r>
            <w:instrText xml:space="preserve"> HYPERLINK \l _Toc25275 </w:instrText>
          </w:r>
          <w:r>
            <w:fldChar w:fldCharType="separate"/>
          </w:r>
          <w:r>
            <w:rPr>
              <w:rFonts w:hint="eastAsia"/>
              <w:bCs/>
              <w:szCs w:val="32"/>
              <w:lang w:val="en-US" w:eastAsia="zh-CN"/>
            </w:rPr>
            <w:t>3.3.5 管理与保护范围告示牌编码规则</w:t>
          </w:r>
          <w:r>
            <w:tab/>
          </w:r>
          <w:r>
            <w:fldChar w:fldCharType="begin"/>
          </w:r>
          <w:r>
            <w:instrText xml:space="preserve"> PAGEREF _Toc25275 </w:instrText>
          </w:r>
          <w:r>
            <w:fldChar w:fldCharType="separate"/>
          </w:r>
          <w:r>
            <w:t>24</w:t>
          </w:r>
          <w:r>
            <w:fldChar w:fldCharType="end"/>
          </w:r>
          <w:r>
            <w:fldChar w:fldCharType="end"/>
          </w:r>
        </w:p>
        <w:p>
          <w:pPr>
            <w:pStyle w:val="9"/>
            <w:tabs>
              <w:tab w:val="right" w:leader="dot" w:pos="8958"/>
            </w:tabs>
          </w:pPr>
          <w:r>
            <w:fldChar w:fldCharType="begin"/>
          </w:r>
          <w:r>
            <w:instrText xml:space="preserve"> HYPERLINK \l _Toc27537 </w:instrText>
          </w:r>
          <w:r>
            <w:fldChar w:fldCharType="separate"/>
          </w:r>
          <w:r>
            <w:rPr>
              <w:rFonts w:hint="eastAsia"/>
              <w:lang w:val="en-US" w:eastAsia="zh-CN"/>
            </w:rPr>
            <w:t>4 管理与保护范围线核实勘定</w:t>
          </w:r>
          <w:r>
            <w:tab/>
          </w:r>
          <w:r>
            <w:fldChar w:fldCharType="begin"/>
          </w:r>
          <w:r>
            <w:instrText xml:space="preserve"> PAGEREF _Toc27537 </w:instrText>
          </w:r>
          <w:r>
            <w:fldChar w:fldCharType="separate"/>
          </w:r>
          <w:r>
            <w:t>24</w:t>
          </w:r>
          <w:r>
            <w:fldChar w:fldCharType="end"/>
          </w:r>
          <w:r>
            <w:fldChar w:fldCharType="end"/>
          </w:r>
        </w:p>
        <w:p>
          <w:r>
            <w:fldChar w:fldCharType="end"/>
          </w:r>
        </w:p>
      </w:sdtContent>
    </w:sdt>
    <w:p/>
    <w:p/>
    <w:p/>
    <w:p/>
    <w:p/>
    <w:p>
      <w:pPr>
        <w:ind w:left="0" w:leftChars="0" w:firstLine="0" w:firstLineChars="0"/>
      </w:pPr>
    </w:p>
    <w:p/>
    <w:p>
      <w:pPr>
        <w:pStyle w:val="2"/>
        <w:sectPr>
          <w:footerReference r:id="rId10" w:type="default"/>
          <w:pgSz w:w="11906" w:h="16838"/>
          <w:pgMar w:top="1871" w:right="1474" w:bottom="1701" w:left="1474" w:header="851" w:footer="1361" w:gutter="0"/>
          <w:pgNumType w:start="1"/>
          <w:cols w:space="425" w:num="1"/>
          <w:docGrid w:type="lines" w:linePitch="435" w:charSpace="0"/>
        </w:sectPr>
      </w:pPr>
      <w:bookmarkStart w:id="0" w:name="_Toc25931"/>
      <w:bookmarkStart w:id="1" w:name="_Toc4738"/>
      <w:bookmarkStart w:id="2" w:name="_Toc29313"/>
    </w:p>
    <w:p>
      <w:pPr>
        <w:pStyle w:val="2"/>
      </w:pPr>
      <w:r>
        <w:t>1 绪论</w:t>
      </w:r>
      <w:bookmarkEnd w:id="0"/>
      <w:bookmarkEnd w:id="1"/>
      <w:bookmarkEnd w:id="2"/>
    </w:p>
    <w:p>
      <w:pPr>
        <w:ind w:firstLine="640"/>
      </w:pPr>
      <w:r>
        <w:t>水利工程管理与保护范围划定工作是根据《中华人民共和国水法》、《湖南省实施＜中华人民共和国水法＞办法》的有关规定和《水利部关于开展河湖管理和水利工程管理与保护范围划定工作的通知》（水建管〔2014〕285号）、《水利部关于加快推进水利工程管理与保护范围划定工作的通知》（水运管〔2018〕339号）文件的精神</w:t>
      </w:r>
      <w:r>
        <w:rPr>
          <w:rFonts w:hint="eastAsia"/>
        </w:rPr>
        <w:t>和“依法依规、因地制宜、尊重历史、符合实际”的工作原则</w:t>
      </w:r>
      <w:r>
        <w:t>，开展的一项河湖生态空间管控基础工作，同时也是我省水利基础设施空间布局规划这一重大项目前期工作的主要内容。</w:t>
      </w:r>
    </w:p>
    <w:p>
      <w:pPr>
        <w:ind w:firstLine="640"/>
      </w:pPr>
      <w:r>
        <w:rPr>
          <w:rFonts w:hint="eastAsia"/>
        </w:rPr>
        <w:t>划界的</w:t>
      </w:r>
      <w:r>
        <w:t>目的是建立范围明确、权属清晰、责任落实的水利工程管理保护责任体系，实现水利工程有效管理，支撑和促进经济社会可持续发展。依法划定水利工程管理与保护范围是“水利工程补短板，水利行业强监管”的基础工作，是确保水利工程安全和效益充分发挥的重要抓手，是水利行业扭转“重建轻管”局面的关键一环，是水利基础设施实现有效空间管控的必然途径，是全力保障我省水安全的战略举措，对水利行业的长远发展具有重大意义。</w:t>
      </w:r>
    </w:p>
    <w:p>
      <w:pPr>
        <w:rPr>
          <w:rFonts w:hint="eastAsia" w:eastAsia="仿宋_GB2312"/>
          <w:lang w:eastAsia="zh-CN"/>
        </w:rPr>
      </w:pPr>
    </w:p>
    <w:p/>
    <w:p/>
    <w:p>
      <w:pPr>
        <w:pStyle w:val="3"/>
        <w:bidi w:val="0"/>
        <w:spacing w:before="0" w:beforeLines="-2147483648" w:beforeAutospacing="0" w:after="0" w:afterLines="-2147483648" w:afterAutospacing="0" w:line="680" w:lineRule="exact"/>
        <w:rPr>
          <w:rFonts w:ascii="Times New Roman" w:hAnsi="Times New Roman" w:cstheme="majorBidi"/>
          <w:bCs/>
          <w:szCs w:val="32"/>
        </w:rPr>
      </w:pPr>
      <w:bookmarkStart w:id="3" w:name="_Toc3595"/>
      <w:bookmarkStart w:id="4" w:name="_Toc17993"/>
      <w:bookmarkStart w:id="5" w:name="_Toc23794"/>
      <w:bookmarkStart w:id="6" w:name="_Toc47612114"/>
      <w:r>
        <w:rPr>
          <w:rFonts w:ascii="Times New Roman" w:hAnsi="Times New Roman" w:cstheme="majorBidi"/>
          <w:bCs/>
          <w:szCs w:val="32"/>
        </w:rPr>
        <w:t>1.1</w:t>
      </w:r>
      <w:r>
        <w:rPr>
          <w:rFonts w:hint="eastAsia" w:ascii="Times New Roman" w:hAnsi="Times New Roman" w:cstheme="majorBidi"/>
          <w:bCs/>
          <w:szCs w:val="32"/>
          <w:lang w:eastAsia="zh-CN"/>
        </w:rPr>
        <w:t>新晃侗族自治县</w:t>
      </w:r>
      <w:r>
        <w:rPr>
          <w:rFonts w:ascii="Times New Roman" w:hAnsi="Times New Roman" w:cstheme="majorBidi"/>
          <w:bCs/>
          <w:szCs w:val="32"/>
        </w:rPr>
        <w:t>基本情况</w:t>
      </w:r>
      <w:bookmarkEnd w:id="3"/>
      <w:bookmarkEnd w:id="4"/>
      <w:bookmarkEnd w:id="5"/>
      <w:bookmarkEnd w:id="6"/>
    </w:p>
    <w:p>
      <w:pPr>
        <w:ind w:firstLine="640"/>
      </w:pPr>
      <w:r>
        <w:rPr>
          <w:rFonts w:hint="eastAsia"/>
        </w:rPr>
        <w:t>新晃侗族自治县地理位置介于东经108°47′13″——109°26′45″，北纬27°4′16″——27°29′58″之间，东西长52.5公里，南北宽42.3公里，土地总面积1508平方公里</w:t>
      </w:r>
      <w:r>
        <w:rPr>
          <w:rFonts w:hint="eastAsia"/>
          <w:lang w:eastAsia="zh-CN"/>
        </w:rPr>
        <w:t>，</w:t>
      </w:r>
      <w:r>
        <w:rPr>
          <w:rFonts w:hint="eastAsia"/>
        </w:rPr>
        <w:t>辖9镇2乡。总人口27万，有侗、汉、苗、回等26个民族，少数民族人口占总人口的86.7%</w:t>
      </w:r>
      <w:r>
        <w:rPr>
          <w:rFonts w:hint="eastAsia"/>
          <w:lang w:eastAsia="zh-CN"/>
        </w:rPr>
        <w:t>。</w:t>
      </w:r>
      <w:r>
        <w:rPr>
          <w:rFonts w:hint="eastAsia"/>
        </w:rPr>
        <w:t>新晃</w:t>
      </w:r>
      <w:r>
        <w:rPr>
          <w:rFonts w:hint="eastAsia"/>
          <w:lang w:eastAsia="zh-CN"/>
        </w:rPr>
        <w:t>侗族自治</w:t>
      </w:r>
      <w:r>
        <w:rPr>
          <w:rFonts w:hint="eastAsia"/>
        </w:rPr>
        <w:t>县位于湖南省最西部，居湖南“人头形”版图的“鼻尖”上，沅水支流㵲水的中游，东连芷江侗族自治县，南、西、北三面分别于贵州省天柱县、三穗县、镇远县、玉屏侗族自治县及万山区毗邻。</w:t>
      </w:r>
    </w:p>
    <w:p>
      <w:pPr>
        <w:pStyle w:val="3"/>
        <w:bidi w:val="0"/>
        <w:spacing w:before="0" w:beforeLines="-2147483648" w:beforeAutospacing="0" w:after="0" w:afterLines="-2147483648" w:afterAutospacing="0" w:line="680" w:lineRule="exact"/>
        <w:rPr>
          <w:rFonts w:ascii="Times New Roman" w:hAnsi="Times New Roman" w:cstheme="majorBidi"/>
          <w:bCs/>
          <w:szCs w:val="32"/>
        </w:rPr>
      </w:pPr>
      <w:bookmarkStart w:id="7" w:name="_Toc14333"/>
      <w:bookmarkStart w:id="8" w:name="_Toc7625"/>
      <w:bookmarkStart w:id="9" w:name="_Toc13658"/>
      <w:bookmarkStart w:id="10" w:name="_Toc2659"/>
      <w:r>
        <w:rPr>
          <w:rFonts w:ascii="Times New Roman" w:hAnsi="Times New Roman" w:cstheme="majorBidi"/>
          <w:bCs/>
          <w:szCs w:val="32"/>
        </w:rPr>
        <w:t>1.2划界依据</w:t>
      </w:r>
      <w:bookmarkEnd w:id="7"/>
      <w:bookmarkEnd w:id="8"/>
      <w:bookmarkEnd w:id="9"/>
      <w:bookmarkEnd w:id="10"/>
    </w:p>
    <w:p>
      <w:pPr>
        <w:pStyle w:val="4"/>
        <w:spacing w:before="0" w:beforeLines="-2147483648" w:beforeAutospacing="0" w:after="0" w:afterLines="-2147483648" w:afterAutospacing="0" w:line="680" w:lineRule="exact"/>
        <w:ind w:firstLine="640"/>
        <w:rPr>
          <w:b w:val="0"/>
          <w:bCs/>
          <w:szCs w:val="32"/>
        </w:rPr>
      </w:pPr>
      <w:bookmarkStart w:id="11" w:name="_Toc9955"/>
      <w:bookmarkStart w:id="12" w:name="_Toc60738482"/>
      <w:bookmarkStart w:id="13" w:name="_Toc11126"/>
      <w:r>
        <w:rPr>
          <w:b w:val="0"/>
          <w:bCs/>
          <w:szCs w:val="32"/>
        </w:rPr>
        <w:t>1.2.1法律法规</w:t>
      </w:r>
      <w:bookmarkEnd w:id="11"/>
      <w:bookmarkEnd w:id="12"/>
      <w:bookmarkEnd w:id="13"/>
    </w:p>
    <w:p>
      <w:pPr>
        <w:ind w:firstLine="640"/>
      </w:pPr>
      <w:r>
        <w:t>（1）《中华人民共和国水法》（2016 年修正）</w:t>
      </w:r>
    </w:p>
    <w:p>
      <w:pPr>
        <w:ind w:firstLine="640"/>
      </w:pPr>
      <w:r>
        <w:t>（2）《中华人民共和国防洪法》（2016 年修正）</w:t>
      </w:r>
    </w:p>
    <w:p>
      <w:pPr>
        <w:ind w:firstLine="640"/>
      </w:pPr>
      <w:r>
        <w:t>（3）《中华人民共和国土地管理法》（2019 年修正）</w:t>
      </w:r>
    </w:p>
    <w:p>
      <w:pPr>
        <w:ind w:firstLine="640"/>
      </w:pPr>
      <w:r>
        <w:t>（4）《中华人民共和国河道管理条例》（2018 年修正）</w:t>
      </w:r>
    </w:p>
    <w:p>
      <w:pPr>
        <w:ind w:firstLine="640"/>
      </w:pPr>
      <w:r>
        <w:t>（5）《地图管理条例》（2015 年）</w:t>
      </w:r>
    </w:p>
    <w:p>
      <w:pPr>
        <w:ind w:firstLine="640"/>
      </w:pPr>
      <w:r>
        <w:t>（</w:t>
      </w:r>
      <w:r>
        <w:rPr>
          <w:rFonts w:hint="eastAsia"/>
        </w:rPr>
        <w:t>6</w:t>
      </w:r>
      <w:r>
        <w:t>）《湖南省实施＜中华人民共和国水法＞办法》（2012 年修订）</w:t>
      </w:r>
    </w:p>
    <w:p>
      <w:pPr>
        <w:ind w:firstLine="640"/>
      </w:pPr>
      <w:r>
        <w:t>（</w:t>
      </w:r>
      <w:r>
        <w:rPr>
          <w:rFonts w:hint="eastAsia"/>
        </w:rPr>
        <w:t>7</w:t>
      </w:r>
      <w:r>
        <w:t>）《湖南省实施＜中华人民共和国防洪法＞办法》（2018年修订）</w:t>
      </w:r>
    </w:p>
    <w:p>
      <w:pPr>
        <w:ind w:firstLine="640"/>
      </w:pPr>
      <w:r>
        <w:t>（</w:t>
      </w:r>
      <w:r>
        <w:rPr>
          <w:rFonts w:hint="eastAsia"/>
        </w:rPr>
        <w:t>8</w:t>
      </w:r>
      <w:r>
        <w:t>）《湖南省实施＜中华人民共和国土地管理法＞办法》（2016 年修正本）</w:t>
      </w:r>
    </w:p>
    <w:p>
      <w:pPr>
        <w:pStyle w:val="4"/>
        <w:spacing w:before="0" w:beforeLines="-2147483648" w:beforeAutospacing="0" w:after="0" w:afterLines="-2147483648" w:afterAutospacing="0" w:line="680" w:lineRule="exact"/>
        <w:ind w:firstLine="640"/>
        <w:rPr>
          <w:b w:val="0"/>
          <w:bCs/>
          <w:szCs w:val="32"/>
        </w:rPr>
      </w:pPr>
      <w:bookmarkStart w:id="14" w:name="_Toc7431"/>
      <w:r>
        <w:rPr>
          <w:b w:val="0"/>
          <w:bCs/>
          <w:szCs w:val="32"/>
        </w:rPr>
        <w:t>1.2.2政策文件</w:t>
      </w:r>
      <w:bookmarkEnd w:id="14"/>
    </w:p>
    <w:p>
      <w:pPr>
        <w:ind w:firstLine="640"/>
      </w:pPr>
      <w:r>
        <w:t>（1）《关于水利水电工程建设用地有关问题的通知》（国土资发</w:t>
      </w:r>
      <w:r>
        <w:rPr>
          <w:rFonts w:hint="eastAsia"/>
        </w:rPr>
        <w:t xml:space="preserve"> </w:t>
      </w:r>
      <w:r>
        <w:t>[2001]355号）</w:t>
      </w:r>
    </w:p>
    <w:p>
      <w:pPr>
        <w:ind w:firstLine="640"/>
      </w:pPr>
      <w:r>
        <w:t>（2）《水利部关于深化水利改革的意见》（水规计 [2014]48号）</w:t>
      </w:r>
    </w:p>
    <w:p>
      <w:pPr>
        <w:ind w:firstLine="640"/>
      </w:pPr>
      <w:r>
        <w:t>（3）《关于加强河湖管理工作的指导意见》（水建管 [2014]76号）</w:t>
      </w:r>
    </w:p>
    <w:p>
      <w:pPr>
        <w:ind w:firstLine="640"/>
      </w:pPr>
      <w:r>
        <w:t>（4）《水利部关于开展河湖管理范围和水利工程管理与保护范围划定工作的通知》（水建管 [2014]285号）</w:t>
      </w:r>
    </w:p>
    <w:p>
      <w:pPr>
        <w:ind w:firstLine="640"/>
      </w:pPr>
      <w:r>
        <w:t>（5）《关于加快推进水利工程管理与保护范围划定工作的通知》（水运管 [2018]339号）</w:t>
      </w:r>
    </w:p>
    <w:p>
      <w:pPr>
        <w:ind w:firstLine="640"/>
      </w:pPr>
      <w:r>
        <w:rPr>
          <w:rFonts w:hint="eastAsia"/>
        </w:rPr>
        <w:t>（6）《关于做好全省水利工程管理与保护范围划定工作的通知》（湘水发 [2020]8号）</w:t>
      </w:r>
    </w:p>
    <w:p>
      <w:pPr>
        <w:ind w:firstLine="640"/>
      </w:pPr>
      <w:r>
        <w:rPr>
          <w:rFonts w:hint="eastAsia"/>
        </w:rPr>
        <w:t>（7）《关于加快推进全省水利工程管理与保护范围划定工作的通知》（湘水办函 [2020]213号）</w:t>
      </w:r>
    </w:p>
    <w:p>
      <w:pPr>
        <w:pStyle w:val="4"/>
        <w:spacing w:before="0" w:beforeLines="-2147483648" w:beforeAutospacing="0" w:after="0" w:afterLines="-2147483648" w:afterAutospacing="0" w:line="680" w:lineRule="exact"/>
        <w:ind w:firstLine="640"/>
        <w:rPr>
          <w:b w:val="0"/>
          <w:bCs/>
          <w:szCs w:val="32"/>
        </w:rPr>
      </w:pPr>
      <w:bookmarkStart w:id="15" w:name="_Toc13099"/>
      <w:r>
        <w:rPr>
          <w:b w:val="0"/>
          <w:bCs/>
          <w:szCs w:val="32"/>
        </w:rPr>
        <w:t>1.2.3规程规范</w:t>
      </w:r>
      <w:bookmarkEnd w:id="15"/>
    </w:p>
    <w:p>
      <w:pPr>
        <w:ind w:firstLine="640"/>
      </w:pPr>
      <w:r>
        <w:t>（1）《防洪标准》（GB 50201-2014）</w:t>
      </w:r>
    </w:p>
    <w:p>
      <w:pPr>
        <w:ind w:firstLine="640"/>
      </w:pPr>
      <w:r>
        <w:t>（2）《水库工程管理设计规范》（SL 106-2017）</w:t>
      </w:r>
    </w:p>
    <w:p>
      <w:pPr>
        <w:ind w:firstLine="640"/>
      </w:pPr>
      <w:r>
        <w:t>（3）《水闸设计规范》（SL 265-2016）</w:t>
      </w:r>
    </w:p>
    <w:p>
      <w:pPr>
        <w:ind w:firstLine="640"/>
      </w:pPr>
      <w:r>
        <w:t xml:space="preserve">（4）《堤防工程管理设计规范》（SL </w:t>
      </w:r>
      <w:r>
        <w:rPr>
          <w:rFonts w:hint="eastAsia"/>
        </w:rPr>
        <w:t>/T</w:t>
      </w:r>
      <w:r>
        <w:t>171-</w:t>
      </w:r>
      <w:r>
        <w:rPr>
          <w:rFonts w:hint="eastAsia"/>
        </w:rPr>
        <w:t>2020</w:t>
      </w:r>
      <w:r>
        <w:t>）</w:t>
      </w:r>
    </w:p>
    <w:p>
      <w:pPr>
        <w:ind w:firstLine="640"/>
      </w:pPr>
      <w:r>
        <w:t>（5）《堤防工程设计规范》（GB 50286-20</w:t>
      </w:r>
      <w:r>
        <w:rPr>
          <w:rFonts w:hint="eastAsia"/>
        </w:rPr>
        <w:t>20</w:t>
      </w:r>
      <w:r>
        <w:t>）</w:t>
      </w:r>
    </w:p>
    <w:p>
      <w:pPr>
        <w:ind w:firstLine="640"/>
      </w:pPr>
      <w:r>
        <w:t>（6）《泵站设计规范》（GB/T 50265-2010）</w:t>
      </w:r>
    </w:p>
    <w:p>
      <w:pPr>
        <w:ind w:firstLine="640"/>
      </w:pPr>
      <w:r>
        <w:t>（7）《灌溉与排水工程设计标准》（GB 52088-2018）</w:t>
      </w:r>
    </w:p>
    <w:p>
      <w:pPr>
        <w:ind w:firstLine="640"/>
      </w:pPr>
      <w:r>
        <w:t>（8）《蓄滞洪区设计规范》（GB 50773-2012）</w:t>
      </w:r>
    </w:p>
    <w:p>
      <w:pPr>
        <w:ind w:firstLine="640"/>
      </w:pPr>
      <w:r>
        <w:t>（9）《调水工程设计指南》（SL 430-2008）</w:t>
      </w:r>
    </w:p>
    <w:p>
      <w:pPr>
        <w:ind w:firstLine="640"/>
      </w:pPr>
      <w:r>
        <w:t>（10）《水利水电工程等级划分及洪水标准》（SL 252-2017）</w:t>
      </w:r>
    </w:p>
    <w:p>
      <w:pPr>
        <w:ind w:firstLine="640"/>
      </w:pPr>
      <w:r>
        <w:t>（11）《水利水电工程设计洪水计算规范》（SL 44-2006）</w:t>
      </w:r>
    </w:p>
    <w:p>
      <w:pPr>
        <w:ind w:firstLine="640"/>
      </w:pPr>
      <w:r>
        <w:t>（12）《水利水电工程建设征地移民安置规划设计规范》（SL</w:t>
      </w:r>
      <w:r>
        <w:rPr>
          <w:rFonts w:hint="eastAsia"/>
        </w:rPr>
        <w:t xml:space="preserve"> </w:t>
      </w:r>
      <w:r>
        <w:t>290-2009）</w:t>
      </w:r>
    </w:p>
    <w:p>
      <w:pPr>
        <w:ind w:firstLine="640"/>
      </w:pPr>
      <w:r>
        <w:t>（13）《水利水电工程测量规范》（SL 197-2013）</w:t>
      </w:r>
    </w:p>
    <w:p>
      <w:pPr>
        <w:ind w:firstLine="640"/>
      </w:pPr>
      <w:r>
        <w:t>（1</w:t>
      </w:r>
      <w:r>
        <w:rPr>
          <w:rFonts w:hint="eastAsia"/>
        </w:rPr>
        <w:t>4</w:t>
      </w:r>
      <w:r>
        <w:t>）《1:500 1:1000 1:2000 地形图航空摄影测量内业规范》（GB/T 7930-2008）</w:t>
      </w:r>
    </w:p>
    <w:p>
      <w:pPr>
        <w:ind w:firstLine="640"/>
      </w:pPr>
      <w:r>
        <w:t>（1</w:t>
      </w:r>
      <w:r>
        <w:rPr>
          <w:rFonts w:hint="eastAsia"/>
        </w:rPr>
        <w:t>5</w:t>
      </w:r>
      <w:r>
        <w:t>）《1:500 1:1000 1:2000 地形图航空摄影测量外业规范》（GB／T 7931-2008）</w:t>
      </w:r>
    </w:p>
    <w:p>
      <w:pPr>
        <w:ind w:firstLine="640"/>
      </w:pPr>
      <w:r>
        <w:t>（1</w:t>
      </w:r>
      <w:r>
        <w:rPr>
          <w:rFonts w:hint="eastAsia"/>
        </w:rPr>
        <w:t>6</w:t>
      </w:r>
      <w:r>
        <w:t>）《国家基本比例尺地形图图式第1部分：1:500 1:1000 1:2000 地形图图式》（GB/T 20257.1-2017）</w:t>
      </w:r>
    </w:p>
    <w:p>
      <w:pPr>
        <w:ind w:firstLine="640"/>
      </w:pPr>
      <w:r>
        <w:t>（1</w:t>
      </w:r>
      <w:r>
        <w:rPr>
          <w:rFonts w:hint="eastAsia"/>
        </w:rPr>
        <w:t>7</w:t>
      </w:r>
      <w:r>
        <w:t>）《基础地理信息要素分类与代码》（GB/T 13923-2006）</w:t>
      </w:r>
    </w:p>
    <w:p>
      <w:pPr>
        <w:ind w:firstLine="640"/>
      </w:pPr>
      <w:r>
        <w:t>（1</w:t>
      </w:r>
      <w:r>
        <w:rPr>
          <w:rFonts w:hint="eastAsia"/>
        </w:rPr>
        <w:t>8</w:t>
      </w:r>
      <w:r>
        <w:t>）《全球定位系统实时动态测量（RTK）技术规范》（CH/T2009-2010）</w:t>
      </w:r>
    </w:p>
    <w:p>
      <w:pPr>
        <w:ind w:firstLine="640"/>
      </w:pPr>
      <w:r>
        <w:t>（1</w:t>
      </w:r>
      <w:r>
        <w:rPr>
          <w:rFonts w:hint="eastAsia"/>
        </w:rPr>
        <w:t>9</w:t>
      </w:r>
      <w:r>
        <w:t>）《测绘成果质量检查与验收》（GB/T 24356-2009）</w:t>
      </w:r>
    </w:p>
    <w:p>
      <w:pPr>
        <w:ind w:firstLine="640"/>
      </w:pPr>
      <w:r>
        <w:t>（</w:t>
      </w:r>
      <w:r>
        <w:rPr>
          <w:rFonts w:hint="eastAsia"/>
        </w:rPr>
        <w:t>20</w:t>
      </w:r>
      <w:r>
        <w:t>）《湖南省水利工程管理与保护范围划界工作指南</w:t>
      </w:r>
      <w:r>
        <w:rPr>
          <w:rFonts w:hint="eastAsia"/>
        </w:rPr>
        <w:t>（试行）</w:t>
      </w:r>
      <w:r>
        <w:t>》</w:t>
      </w:r>
      <w:r>
        <w:rPr>
          <w:rFonts w:hint="eastAsia"/>
        </w:rPr>
        <w:t>（湘水办函 [2020]227号）</w:t>
      </w:r>
    </w:p>
    <w:p>
      <w:pPr>
        <w:pStyle w:val="3"/>
        <w:bidi w:val="0"/>
        <w:spacing w:before="0" w:beforeLines="-2147483648" w:beforeAutospacing="0" w:after="0" w:afterLines="-2147483648" w:afterAutospacing="0" w:line="680" w:lineRule="exact"/>
        <w:rPr>
          <w:rFonts w:ascii="Times New Roman" w:hAnsi="Times New Roman" w:cstheme="majorBidi"/>
          <w:bCs/>
          <w:szCs w:val="32"/>
        </w:rPr>
      </w:pPr>
      <w:bookmarkStart w:id="16" w:name="_Toc28567"/>
      <w:bookmarkStart w:id="17" w:name="_Toc30549"/>
      <w:bookmarkStart w:id="18" w:name="_Toc13483"/>
      <w:r>
        <w:rPr>
          <w:rFonts w:ascii="Times New Roman" w:hAnsi="Times New Roman" w:cstheme="majorBidi"/>
          <w:bCs/>
          <w:szCs w:val="32"/>
        </w:rPr>
        <w:t>1.</w:t>
      </w:r>
      <w:r>
        <w:rPr>
          <w:rFonts w:hint="eastAsia" w:ascii="Times New Roman" w:hAnsi="Times New Roman" w:cstheme="majorBidi"/>
          <w:bCs/>
          <w:szCs w:val="32"/>
        </w:rPr>
        <w:t>3</w:t>
      </w:r>
      <w:r>
        <w:rPr>
          <w:rFonts w:ascii="Times New Roman" w:hAnsi="Times New Roman" w:cstheme="majorBidi"/>
          <w:bCs/>
          <w:szCs w:val="32"/>
        </w:rPr>
        <w:t xml:space="preserve"> 划界成果</w:t>
      </w:r>
      <w:bookmarkEnd w:id="16"/>
      <w:bookmarkEnd w:id="17"/>
      <w:bookmarkEnd w:id="18"/>
    </w:p>
    <w:p>
      <w:pPr>
        <w:ind w:firstLine="640"/>
      </w:pPr>
      <w:r>
        <w:rPr>
          <w:rFonts w:hint="eastAsia"/>
          <w:lang w:eastAsia="zh-CN"/>
        </w:rPr>
        <w:t>新晃侗族自治县</w:t>
      </w:r>
      <w:r>
        <w:rPr>
          <w:rFonts w:hint="eastAsia"/>
        </w:rPr>
        <w:t>大中型及重点小型水利工程</w:t>
      </w:r>
      <w:r>
        <w:t>管理与保护范围</w:t>
      </w:r>
      <w:r>
        <w:rPr>
          <w:rFonts w:hint="eastAsia"/>
        </w:rPr>
        <w:t>划界成果主要包括文字报告、数据库、图件和表格成果等，相关成果的坐标系统均采用</w:t>
      </w:r>
      <w:r>
        <w:t>2000</w:t>
      </w:r>
      <w:r>
        <w:rPr>
          <w:rFonts w:hint="eastAsia"/>
        </w:rPr>
        <w:t>国家大地坐</w:t>
      </w:r>
      <w:r>
        <w:t>标</w:t>
      </w:r>
      <w:r>
        <w:rPr>
          <w:rFonts w:hint="eastAsia"/>
        </w:rPr>
        <w:t>系、</w:t>
      </w:r>
      <w:r>
        <w:t>高斯</w:t>
      </w:r>
      <w:r>
        <w:rPr>
          <w:rFonts w:hint="eastAsia"/>
        </w:rPr>
        <w:t>-克</w:t>
      </w:r>
      <w:r>
        <w:t>吕格投影</w:t>
      </w:r>
      <w:r>
        <w:rPr>
          <w:rFonts w:hint="eastAsia"/>
        </w:rPr>
        <w:t>，</w:t>
      </w:r>
      <w:r>
        <w:t>标准</w:t>
      </w:r>
      <w:r>
        <w:rPr>
          <w:rFonts w:hint="eastAsia"/>
        </w:rPr>
        <w:t>3度分</w:t>
      </w:r>
      <w:r>
        <w:t>带，中</w:t>
      </w:r>
      <w:r>
        <w:rPr>
          <w:rFonts w:hint="eastAsia"/>
        </w:rPr>
        <w:t>央</w:t>
      </w:r>
      <w:r>
        <w:t>经线</w:t>
      </w:r>
      <w:r>
        <w:rPr>
          <w:rFonts w:hint="eastAsia"/>
        </w:rPr>
        <w:t>111度</w:t>
      </w:r>
      <w:r>
        <w:t>。</w:t>
      </w:r>
      <w:r>
        <w:rPr>
          <w:rFonts w:hint="eastAsia"/>
        </w:rPr>
        <w:t>主要成果内容如下：</w:t>
      </w:r>
    </w:p>
    <w:p>
      <w:pPr>
        <w:pStyle w:val="4"/>
        <w:spacing w:before="0" w:beforeLines="-2147483648" w:beforeAutospacing="0" w:after="0" w:afterLines="-2147483648" w:afterAutospacing="0" w:line="680" w:lineRule="exact"/>
        <w:ind w:firstLine="640"/>
        <w:rPr>
          <w:b w:val="0"/>
          <w:bCs/>
          <w:szCs w:val="32"/>
        </w:rPr>
      </w:pPr>
      <w:bookmarkStart w:id="19" w:name="_Toc60738484"/>
      <w:bookmarkStart w:id="20" w:name="_Toc5909"/>
      <w:bookmarkStart w:id="21" w:name="_Toc31718"/>
      <w:r>
        <w:rPr>
          <w:rFonts w:hint="eastAsia"/>
          <w:b w:val="0"/>
          <w:bCs/>
          <w:szCs w:val="32"/>
        </w:rPr>
        <w:t>1</w:t>
      </w:r>
      <w:r>
        <w:rPr>
          <w:b w:val="0"/>
          <w:bCs/>
          <w:szCs w:val="32"/>
        </w:rPr>
        <w:t>.</w:t>
      </w:r>
      <w:r>
        <w:rPr>
          <w:rFonts w:hint="eastAsia"/>
          <w:b w:val="0"/>
          <w:bCs/>
          <w:szCs w:val="32"/>
        </w:rPr>
        <w:t>3</w:t>
      </w:r>
      <w:r>
        <w:rPr>
          <w:b w:val="0"/>
          <w:bCs/>
          <w:szCs w:val="32"/>
        </w:rPr>
        <w:t xml:space="preserve">.1 </w:t>
      </w:r>
      <w:r>
        <w:rPr>
          <w:rFonts w:hint="eastAsia"/>
          <w:b w:val="0"/>
          <w:bCs/>
          <w:szCs w:val="32"/>
        </w:rPr>
        <w:t>文字报告</w:t>
      </w:r>
      <w:bookmarkEnd w:id="19"/>
      <w:bookmarkEnd w:id="20"/>
      <w:bookmarkEnd w:id="21"/>
    </w:p>
    <w:p>
      <w:pPr>
        <w:ind w:firstLine="640"/>
      </w:pPr>
      <w:r>
        <w:rPr>
          <w:rFonts w:hint="eastAsia"/>
        </w:rPr>
        <w:t>《湖南省</w:t>
      </w:r>
      <w:r>
        <w:rPr>
          <w:rFonts w:hint="eastAsia"/>
          <w:lang w:eastAsia="zh-CN"/>
        </w:rPr>
        <w:t>新晃侗族自治县</w:t>
      </w:r>
      <w:r>
        <w:rPr>
          <w:rFonts w:hint="eastAsia"/>
        </w:rPr>
        <w:t>大中型及重点小</w:t>
      </w:r>
      <w:r>
        <w:t>型水利工程管理与保护范围</w:t>
      </w:r>
      <w:r>
        <w:rPr>
          <w:rFonts w:hint="eastAsia"/>
        </w:rPr>
        <w:t>划界</w:t>
      </w:r>
      <w:r>
        <w:t>方案</w:t>
      </w:r>
      <w:r>
        <w:rPr>
          <w:rFonts w:hint="eastAsia"/>
        </w:rPr>
        <w:t>》。</w:t>
      </w:r>
    </w:p>
    <w:p>
      <w:pPr>
        <w:pStyle w:val="4"/>
        <w:spacing w:before="0" w:beforeLines="-2147483648" w:beforeAutospacing="0" w:after="0" w:afterLines="-2147483648" w:afterAutospacing="0" w:line="680" w:lineRule="exact"/>
        <w:ind w:firstLine="640"/>
        <w:rPr>
          <w:rFonts w:hint="eastAsia"/>
          <w:b w:val="0"/>
          <w:bCs/>
          <w:szCs w:val="32"/>
        </w:rPr>
      </w:pPr>
      <w:bookmarkStart w:id="22" w:name="_Toc60738485"/>
      <w:bookmarkStart w:id="23" w:name="_Toc11370"/>
      <w:bookmarkStart w:id="24" w:name="_Toc25355"/>
      <w:r>
        <w:rPr>
          <w:rFonts w:hint="eastAsia"/>
          <w:b w:val="0"/>
          <w:bCs/>
          <w:szCs w:val="32"/>
        </w:rPr>
        <w:t>1.3.2 数据库</w:t>
      </w:r>
      <w:bookmarkEnd w:id="22"/>
      <w:bookmarkEnd w:id="23"/>
      <w:bookmarkEnd w:id="24"/>
    </w:p>
    <w:p>
      <w:pPr>
        <w:rPr>
          <w:rFonts w:hint="eastAsia"/>
        </w:rPr>
      </w:pPr>
      <w:r>
        <w:rPr>
          <w:rFonts w:hint="eastAsia"/>
          <w:lang w:eastAsia="zh-CN"/>
        </w:rPr>
        <w:t>新晃侗族自治县</w:t>
      </w:r>
      <w:r>
        <w:rPr>
          <w:rFonts w:hint="eastAsia"/>
        </w:rPr>
        <w:t>大中型及重点小型</w:t>
      </w:r>
      <w:r>
        <w:t>水利工程管理与保护范围划界</w:t>
      </w:r>
      <w:r>
        <w:rPr>
          <w:rFonts w:hint="eastAsia"/>
        </w:rPr>
        <w:t>成果数据库，格式为G</w:t>
      </w:r>
      <w:r>
        <w:t>DB</w:t>
      </w:r>
      <w:r>
        <w:rPr>
          <w:rFonts w:hint="eastAsia"/>
        </w:rPr>
        <w:t>。</w:t>
      </w:r>
    </w:p>
    <w:p>
      <w:pPr>
        <w:pStyle w:val="4"/>
        <w:spacing w:before="0" w:beforeLines="-2147483648" w:beforeAutospacing="0" w:after="0" w:afterLines="-2147483648" w:afterAutospacing="0" w:line="680" w:lineRule="exact"/>
        <w:ind w:firstLine="640"/>
        <w:rPr>
          <w:rFonts w:hint="eastAsia"/>
          <w:b w:val="0"/>
          <w:bCs/>
          <w:szCs w:val="32"/>
        </w:rPr>
      </w:pPr>
      <w:bookmarkStart w:id="25" w:name="_Toc60738486"/>
      <w:bookmarkStart w:id="26" w:name="_Toc16507"/>
      <w:bookmarkStart w:id="27" w:name="_Toc28090"/>
      <w:r>
        <w:rPr>
          <w:rFonts w:hint="eastAsia"/>
          <w:b w:val="0"/>
          <w:bCs/>
          <w:szCs w:val="32"/>
        </w:rPr>
        <w:t>1.3.3 图件成果</w:t>
      </w:r>
      <w:bookmarkEnd w:id="25"/>
      <w:bookmarkEnd w:id="26"/>
      <w:bookmarkEnd w:id="27"/>
    </w:p>
    <w:p>
      <w:pPr>
        <w:ind w:firstLine="640"/>
        <w:rPr>
          <w:rFonts w:hint="eastAsia"/>
          <w:lang w:val="en-US" w:eastAsia="zh-CN"/>
        </w:rPr>
      </w:pPr>
      <w:bookmarkStart w:id="28" w:name="_Toc60738487"/>
      <w:bookmarkStart w:id="29" w:name="_Toc24991"/>
      <w:r>
        <w:rPr>
          <w:rFonts w:hint="eastAsia"/>
          <w:lang w:val="en-US" w:eastAsia="zh-CN"/>
        </w:rPr>
        <w:t>新晃侗族自治县1个水闸、7个水库工程管理与保护范围划界成果图67幅。成果图件采用A3分幅，各水利工程划界成果图件依据其空间范围采用1:2000比例尺，成果图件电子格式为PDF。</w:t>
      </w:r>
    </w:p>
    <w:p>
      <w:pPr>
        <w:pStyle w:val="4"/>
        <w:spacing w:before="0" w:beforeLines="-2147483648" w:beforeAutospacing="0" w:after="0" w:afterLines="-2147483648" w:afterAutospacing="0" w:line="680" w:lineRule="exact"/>
        <w:ind w:firstLine="640"/>
        <w:rPr>
          <w:rFonts w:hint="eastAsia"/>
          <w:b w:val="0"/>
          <w:bCs/>
          <w:szCs w:val="32"/>
        </w:rPr>
      </w:pPr>
      <w:bookmarkStart w:id="30" w:name="_Toc26982"/>
      <w:r>
        <w:rPr>
          <w:rFonts w:hint="eastAsia"/>
          <w:b w:val="0"/>
          <w:bCs/>
          <w:szCs w:val="32"/>
        </w:rPr>
        <w:t>1.3.4 表格成果</w:t>
      </w:r>
      <w:bookmarkEnd w:id="28"/>
      <w:bookmarkEnd w:id="29"/>
      <w:bookmarkEnd w:id="30"/>
    </w:p>
    <w:p>
      <w:pPr>
        <w:ind w:firstLine="640"/>
      </w:pPr>
      <w:r>
        <w:rPr>
          <w:rFonts w:hint="eastAsia"/>
        </w:rPr>
        <w:t>包括各水利工程管理范围电子界桩成果表、电子告示牌成果表，及保护范围电子界桩成果表、电子告示牌成果表。上述表格记录了各电子界桩、电子告示牌的坐标系统、高程系统、编号、所在位置（地名）、</w:t>
      </w:r>
      <w:r>
        <w:rPr>
          <w:rFonts w:hint="eastAsia"/>
          <w:lang w:val="en-US" w:eastAsia="zh-CN"/>
        </w:rPr>
        <w:t>X</w:t>
      </w:r>
      <w:r>
        <w:rPr>
          <w:rFonts w:hint="eastAsia"/>
        </w:rPr>
        <w:t>坐标、</w:t>
      </w:r>
      <w:r>
        <w:rPr>
          <w:rFonts w:hint="eastAsia"/>
          <w:lang w:val="en-US" w:eastAsia="zh-CN"/>
        </w:rPr>
        <w:t>Y</w:t>
      </w:r>
      <w:r>
        <w:rPr>
          <w:rFonts w:hint="eastAsia"/>
        </w:rPr>
        <w:t>坐标及高程等信息，涉及电子界桩</w:t>
      </w:r>
      <w:r>
        <w:rPr>
          <w:rFonts w:hint="eastAsia"/>
          <w:color w:val="auto"/>
          <w:lang w:val="en-US" w:eastAsia="zh-CN"/>
        </w:rPr>
        <w:t>698</w:t>
      </w:r>
      <w:r>
        <w:rPr>
          <w:rFonts w:hint="eastAsia"/>
        </w:rPr>
        <w:t>个，电子告示</w:t>
      </w:r>
      <w:r>
        <w:rPr>
          <w:rFonts w:hint="eastAsia"/>
          <w:lang w:eastAsia="zh-CN"/>
        </w:rPr>
        <w:t>牌</w:t>
      </w:r>
      <w:r>
        <w:rPr>
          <w:rFonts w:hint="eastAsia"/>
          <w:lang w:val="en-US" w:eastAsia="zh-CN"/>
        </w:rPr>
        <w:t>37</w:t>
      </w:r>
      <w:r>
        <w:rPr>
          <w:rFonts w:hint="eastAsia"/>
        </w:rPr>
        <w:t>个。</w:t>
      </w:r>
    </w:p>
    <w:p>
      <w:pPr>
        <w:pStyle w:val="4"/>
        <w:spacing w:before="0" w:beforeLines="-2147483648" w:beforeAutospacing="0" w:after="0" w:afterLines="-2147483648" w:afterAutospacing="0" w:line="680" w:lineRule="exact"/>
        <w:ind w:firstLine="640"/>
        <w:rPr>
          <w:rFonts w:hint="eastAsia"/>
          <w:b w:val="0"/>
          <w:bCs/>
          <w:szCs w:val="32"/>
        </w:rPr>
      </w:pPr>
      <w:bookmarkStart w:id="31" w:name="_Toc60738488"/>
      <w:bookmarkStart w:id="32" w:name="_Toc15262"/>
      <w:bookmarkStart w:id="33" w:name="_Toc11502"/>
      <w:r>
        <w:rPr>
          <w:rFonts w:hint="eastAsia"/>
          <w:b w:val="0"/>
          <w:bCs/>
          <w:szCs w:val="32"/>
        </w:rPr>
        <w:t>1.3.5 其它成果</w:t>
      </w:r>
      <w:bookmarkEnd w:id="31"/>
      <w:bookmarkEnd w:id="32"/>
      <w:bookmarkEnd w:id="33"/>
    </w:p>
    <w:p>
      <w:pPr>
        <w:rPr>
          <w:rFonts w:hint="eastAsia"/>
        </w:rPr>
      </w:pPr>
      <w:r>
        <w:rPr>
          <w:rFonts w:hint="eastAsia"/>
        </w:rPr>
        <w:t>主要包括记录划界工作过程的各类照片资料、收集的各类基础资料等。</w:t>
      </w:r>
    </w:p>
    <w:p>
      <w:pPr>
        <w:pStyle w:val="2"/>
      </w:pPr>
      <w:bookmarkStart w:id="34" w:name="_Toc13579"/>
      <w:bookmarkStart w:id="35" w:name="_Toc22686"/>
      <w:bookmarkStart w:id="36" w:name="_Toc24993"/>
      <w:r>
        <w:t>2水利工程基本情况</w:t>
      </w:r>
      <w:bookmarkEnd w:id="34"/>
      <w:bookmarkEnd w:id="35"/>
      <w:bookmarkEnd w:id="36"/>
    </w:p>
    <w:p>
      <w:pPr>
        <w:pStyle w:val="3"/>
        <w:bidi w:val="0"/>
        <w:spacing w:before="0" w:beforeLines="-2147483648" w:beforeAutospacing="0" w:after="0" w:afterLines="-2147483648" w:afterAutospacing="0" w:line="680" w:lineRule="exact"/>
        <w:outlineLvl w:val="0"/>
        <w:rPr>
          <w:rFonts w:ascii="Times New Roman" w:hAnsi="Times New Roman" w:cstheme="majorBidi"/>
          <w:bCs/>
          <w:szCs w:val="32"/>
        </w:rPr>
      </w:pPr>
      <w:bookmarkStart w:id="37" w:name="_Toc4676"/>
      <w:bookmarkStart w:id="38" w:name="_Toc7380"/>
      <w:bookmarkStart w:id="39" w:name="_Toc13170"/>
      <w:r>
        <w:rPr>
          <w:rFonts w:ascii="Times New Roman" w:hAnsi="Times New Roman" w:cstheme="majorBidi"/>
          <w:bCs/>
          <w:szCs w:val="32"/>
        </w:rPr>
        <w:t>2.1水利工程分布情况</w:t>
      </w:r>
      <w:bookmarkEnd w:id="37"/>
      <w:bookmarkEnd w:id="38"/>
      <w:bookmarkEnd w:id="39"/>
    </w:p>
    <w:p>
      <w:pPr>
        <w:rPr>
          <w:rFonts w:hint="eastAsia"/>
        </w:rPr>
      </w:pPr>
      <w:r>
        <w:rPr>
          <w:rFonts w:hint="eastAsia"/>
        </w:rPr>
        <w:t>全县大中型水利工程和小（1）型水库管理与保护范围</w:t>
      </w:r>
      <w:r>
        <w:rPr>
          <w:rFonts w:hint="eastAsia"/>
          <w:lang w:eastAsia="zh-CN"/>
        </w:rPr>
        <w:t>划界</w:t>
      </w:r>
      <w:r>
        <w:rPr>
          <w:rFonts w:hint="eastAsia"/>
        </w:rPr>
        <w:t>对象涉及中型水库朝阳水库和板凳坡</w:t>
      </w:r>
      <w:r>
        <w:rPr>
          <w:rFonts w:hint="eastAsia" w:ascii="仿宋" w:hAnsi="仿宋" w:eastAsia="仿宋"/>
        </w:rPr>
        <w:t>、</w:t>
      </w:r>
      <w:r>
        <w:rPr>
          <w:rFonts w:hint="eastAsia"/>
        </w:rPr>
        <w:t>姑召等6</w:t>
      </w:r>
      <w:r>
        <w:rPr>
          <w:rFonts w:hint="eastAsia"/>
          <w:lang w:eastAsia="zh-CN"/>
        </w:rPr>
        <w:t>个</w:t>
      </w:r>
      <w:r>
        <w:rPr>
          <w:rFonts w:hint="eastAsia"/>
        </w:rPr>
        <w:t>小（1）型水库；狮子岩水闸1个大（1）型水闸；总体情况如表</w:t>
      </w:r>
      <w:r>
        <w:rPr>
          <w:rFonts w:hint="eastAsia"/>
          <w:lang w:val="en-US" w:eastAsia="zh-CN"/>
        </w:rPr>
        <w:t>1</w:t>
      </w:r>
      <w:r>
        <w:rPr>
          <w:rFonts w:hint="eastAsia"/>
        </w:rPr>
        <w:t>-1所示，总体分布图如图</w:t>
      </w:r>
      <w:r>
        <w:rPr>
          <w:rFonts w:hint="eastAsia"/>
          <w:lang w:val="en-US" w:eastAsia="zh-CN"/>
        </w:rPr>
        <w:t>1</w:t>
      </w:r>
      <w:r>
        <w:rPr>
          <w:rFonts w:hint="eastAsia"/>
        </w:rPr>
        <w:t>-1所示。</w:t>
      </w:r>
    </w:p>
    <w:p>
      <w:pPr>
        <w:rPr>
          <w:rFonts w:hint="eastAsia"/>
        </w:rPr>
      </w:pPr>
    </w:p>
    <w:p>
      <w:pPr>
        <w:rPr>
          <w:rFonts w:hint="eastAsia"/>
        </w:rPr>
      </w:pPr>
    </w:p>
    <w:p>
      <w:pPr>
        <w:rPr>
          <w:rFonts w:hint="eastAsia"/>
        </w:rPr>
      </w:pPr>
    </w:p>
    <w:p>
      <w:pPr>
        <w:rPr>
          <w:rFonts w:hint="eastAsia"/>
        </w:rPr>
      </w:pPr>
    </w:p>
    <w:p>
      <w:pPr>
        <w:rPr>
          <w:rFonts w:hint="eastAsia"/>
        </w:rPr>
      </w:pPr>
    </w:p>
    <w:p>
      <w:pPr>
        <w:pStyle w:val="14"/>
        <w:spacing w:line="360" w:lineRule="auto"/>
        <w:ind w:firstLine="0" w:firstLineChars="0"/>
      </w:pPr>
      <w:r>
        <w:drawing>
          <wp:anchor distT="0" distB="0" distL="114300" distR="114300" simplePos="0" relativeHeight="252039168" behindDoc="0" locked="0" layoutInCell="1" allowOverlap="1">
            <wp:simplePos x="0" y="0"/>
            <wp:positionH relativeFrom="column">
              <wp:posOffset>132715</wp:posOffset>
            </wp:positionH>
            <wp:positionV relativeFrom="paragraph">
              <wp:posOffset>-111125</wp:posOffset>
            </wp:positionV>
            <wp:extent cx="5511165" cy="3898900"/>
            <wp:effectExtent l="9525" t="9525" r="22860" b="15875"/>
            <wp:wrapTopAndBottom/>
            <wp:docPr id="24" name="图片 24" descr="C:\Users\Administrator\Desktop\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istrator\Desktop\3.jpg3"/>
                    <pic:cNvPicPr>
                      <a:picLocks noChangeAspect="1"/>
                    </pic:cNvPicPr>
                  </pic:nvPicPr>
                  <pic:blipFill>
                    <a:blip r:embed="rId14"/>
                    <a:srcRect/>
                    <a:stretch>
                      <a:fillRect/>
                    </a:stretch>
                  </pic:blipFill>
                  <pic:spPr>
                    <a:xfrm>
                      <a:off x="0" y="0"/>
                      <a:ext cx="5511165" cy="3898900"/>
                    </a:xfrm>
                    <a:prstGeom prst="rect">
                      <a:avLst/>
                    </a:prstGeom>
                    <a:ln>
                      <a:solidFill>
                        <a:schemeClr val="tx1"/>
                      </a:solidFill>
                    </a:ln>
                  </pic:spPr>
                </pic:pic>
              </a:graphicData>
            </a:graphic>
          </wp:anchor>
        </w:drawing>
      </w:r>
      <w:r>
        <w:rPr>
          <w:rFonts w:hint="eastAsia"/>
          <w:lang w:eastAsia="zh-CN"/>
        </w:rPr>
        <w:t>图</w:t>
      </w:r>
      <w:r>
        <w:rPr>
          <w:rFonts w:hint="eastAsia"/>
          <w:lang w:val="en-US" w:eastAsia="zh-CN"/>
        </w:rPr>
        <w:t xml:space="preserve">1-1 </w:t>
      </w:r>
      <w:r>
        <w:t>新</w:t>
      </w:r>
      <w:r>
        <w:rPr>
          <w:rFonts w:hint="eastAsia"/>
        </w:rPr>
        <w:t>晃侗族自治</w:t>
      </w:r>
      <w:r>
        <w:t>县水利工程总体分布图</w:t>
      </w:r>
    </w:p>
    <w:p>
      <w:pPr>
        <w:pStyle w:val="14"/>
        <w:ind w:firstLine="422"/>
        <w:rPr>
          <w:sz w:val="24"/>
          <w:szCs w:val="24"/>
        </w:rPr>
      </w:pPr>
      <w:r>
        <w:rPr>
          <w:sz w:val="24"/>
          <w:szCs w:val="24"/>
        </w:rPr>
        <w:t xml:space="preserve">表2-1 </w:t>
      </w:r>
      <w:r>
        <w:rPr>
          <w:rFonts w:hint="eastAsia"/>
          <w:sz w:val="24"/>
          <w:szCs w:val="24"/>
        </w:rPr>
        <w:t>新晃侗族自治县水利工程总体情况</w:t>
      </w:r>
      <w:r>
        <w:rPr>
          <w:sz w:val="24"/>
          <w:szCs w:val="24"/>
        </w:rPr>
        <w:t>表</w:t>
      </w:r>
    </w:p>
    <w:tbl>
      <w:tblPr>
        <w:tblStyle w:val="11"/>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470"/>
        <w:gridCol w:w="903"/>
        <w:gridCol w:w="1738"/>
        <w:gridCol w:w="1895"/>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30" w:type="dxa"/>
            <w:shd w:val="clear" w:color="auto" w:fill="auto"/>
            <w:noWrap/>
            <w:vAlign w:val="center"/>
          </w:tcPr>
          <w:p>
            <w:pPr>
              <w:pStyle w:val="15"/>
              <w:rPr>
                <w:b/>
              </w:rPr>
            </w:pPr>
            <w:r>
              <w:rPr>
                <w:b/>
              </w:rPr>
              <w:t>市州</w:t>
            </w:r>
          </w:p>
        </w:tc>
        <w:tc>
          <w:tcPr>
            <w:tcW w:w="1470" w:type="dxa"/>
            <w:shd w:val="clear" w:color="auto" w:fill="auto"/>
            <w:noWrap/>
            <w:vAlign w:val="center"/>
          </w:tcPr>
          <w:p>
            <w:pPr>
              <w:pStyle w:val="15"/>
              <w:rPr>
                <w:b/>
              </w:rPr>
            </w:pPr>
            <w:r>
              <w:rPr>
                <w:b/>
              </w:rPr>
              <w:t>县市区</w:t>
            </w:r>
          </w:p>
        </w:tc>
        <w:tc>
          <w:tcPr>
            <w:tcW w:w="6274" w:type="dxa"/>
            <w:gridSpan w:val="4"/>
            <w:shd w:val="clear" w:color="auto" w:fill="auto"/>
            <w:noWrap/>
            <w:vAlign w:val="center"/>
          </w:tcPr>
          <w:p>
            <w:pPr>
              <w:pStyle w:val="15"/>
              <w:rPr>
                <w:b/>
              </w:rPr>
            </w:pPr>
            <w:r>
              <w:rPr>
                <w:b/>
              </w:rPr>
              <w:t>水利工程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30" w:type="dxa"/>
            <w:vMerge w:val="restart"/>
            <w:shd w:val="clear" w:color="auto" w:fill="auto"/>
            <w:noWrap/>
            <w:vAlign w:val="center"/>
          </w:tcPr>
          <w:p>
            <w:pPr>
              <w:pStyle w:val="15"/>
              <w:rPr>
                <w:szCs w:val="21"/>
              </w:rPr>
            </w:pPr>
            <w:r>
              <w:rPr>
                <w:rFonts w:hint="eastAsia"/>
                <w:color w:val="000000"/>
              </w:rPr>
              <w:t>怀化</w:t>
            </w:r>
            <w:r>
              <w:rPr>
                <w:color w:val="000000"/>
              </w:rPr>
              <w:t>市</w:t>
            </w:r>
          </w:p>
        </w:tc>
        <w:tc>
          <w:tcPr>
            <w:tcW w:w="1470" w:type="dxa"/>
            <w:vMerge w:val="restart"/>
            <w:shd w:val="clear" w:color="auto" w:fill="auto"/>
            <w:noWrap/>
            <w:vAlign w:val="center"/>
          </w:tcPr>
          <w:p>
            <w:pPr>
              <w:pStyle w:val="15"/>
              <w:rPr>
                <w:color w:val="000000"/>
              </w:rPr>
            </w:pPr>
            <w:r>
              <w:rPr>
                <w:rFonts w:hint="eastAsia"/>
                <w:color w:val="000000"/>
              </w:rPr>
              <w:t>新晃侗族</w:t>
            </w:r>
          </w:p>
          <w:p>
            <w:pPr>
              <w:pStyle w:val="15"/>
              <w:rPr>
                <w:szCs w:val="21"/>
              </w:rPr>
            </w:pPr>
            <w:r>
              <w:rPr>
                <w:rFonts w:hint="eastAsia"/>
                <w:color w:val="000000"/>
              </w:rPr>
              <w:t>自治</w:t>
            </w:r>
            <w:r>
              <w:rPr>
                <w:color w:val="000000"/>
              </w:rPr>
              <w:t>县</w:t>
            </w:r>
          </w:p>
        </w:tc>
        <w:tc>
          <w:tcPr>
            <w:tcW w:w="6274" w:type="dxa"/>
            <w:gridSpan w:val="4"/>
            <w:shd w:val="clear" w:color="auto" w:fill="auto"/>
            <w:noWrap/>
            <w:vAlign w:val="center"/>
          </w:tcPr>
          <w:p>
            <w:pPr>
              <w:pStyle w:val="15"/>
              <w:rPr>
                <w:szCs w:val="21"/>
              </w:rPr>
            </w:pPr>
            <w:r>
              <w:rPr>
                <w:szCs w:val="21"/>
              </w:rPr>
              <w:t>水库（座）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30" w:type="dxa"/>
            <w:vMerge w:val="continue"/>
            <w:vAlign w:val="center"/>
          </w:tcPr>
          <w:p>
            <w:pPr>
              <w:pStyle w:val="15"/>
              <w:rPr>
                <w:szCs w:val="21"/>
              </w:rPr>
            </w:pPr>
          </w:p>
        </w:tc>
        <w:tc>
          <w:tcPr>
            <w:tcW w:w="1470" w:type="dxa"/>
            <w:vMerge w:val="continue"/>
            <w:vAlign w:val="center"/>
          </w:tcPr>
          <w:p>
            <w:pPr>
              <w:pStyle w:val="15"/>
              <w:rPr>
                <w:szCs w:val="21"/>
              </w:rPr>
            </w:pPr>
          </w:p>
        </w:tc>
        <w:tc>
          <w:tcPr>
            <w:tcW w:w="903" w:type="dxa"/>
            <w:shd w:val="clear" w:color="auto" w:fill="auto"/>
            <w:noWrap/>
            <w:vAlign w:val="center"/>
          </w:tcPr>
          <w:p>
            <w:pPr>
              <w:pStyle w:val="15"/>
              <w:rPr>
                <w:szCs w:val="21"/>
              </w:rPr>
            </w:pPr>
            <w:r>
              <w:rPr>
                <w:szCs w:val="21"/>
              </w:rPr>
              <w:t>小计</w:t>
            </w:r>
          </w:p>
        </w:tc>
        <w:tc>
          <w:tcPr>
            <w:tcW w:w="1738" w:type="dxa"/>
            <w:shd w:val="clear" w:color="auto" w:fill="auto"/>
            <w:noWrap/>
            <w:vAlign w:val="center"/>
          </w:tcPr>
          <w:p>
            <w:pPr>
              <w:pStyle w:val="15"/>
              <w:rPr>
                <w:szCs w:val="21"/>
              </w:rPr>
            </w:pPr>
            <w:r>
              <w:rPr>
                <w:szCs w:val="21"/>
              </w:rPr>
              <w:t>大型</w:t>
            </w:r>
          </w:p>
        </w:tc>
        <w:tc>
          <w:tcPr>
            <w:tcW w:w="1895" w:type="dxa"/>
            <w:shd w:val="clear" w:color="auto" w:fill="auto"/>
            <w:noWrap/>
            <w:vAlign w:val="center"/>
          </w:tcPr>
          <w:p>
            <w:pPr>
              <w:pStyle w:val="15"/>
              <w:rPr>
                <w:szCs w:val="21"/>
              </w:rPr>
            </w:pPr>
            <w:r>
              <w:rPr>
                <w:szCs w:val="21"/>
              </w:rPr>
              <w:t>中型</w:t>
            </w:r>
          </w:p>
        </w:tc>
        <w:tc>
          <w:tcPr>
            <w:tcW w:w="1738" w:type="dxa"/>
            <w:shd w:val="clear" w:color="auto" w:fill="auto"/>
            <w:vAlign w:val="center"/>
          </w:tcPr>
          <w:p>
            <w:pPr>
              <w:pStyle w:val="15"/>
              <w:rPr>
                <w:szCs w:val="21"/>
              </w:rPr>
            </w:pPr>
            <w:r>
              <w:rPr>
                <w:szCs w:val="21"/>
              </w:rPr>
              <w:t>小（1）型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30" w:type="dxa"/>
            <w:vMerge w:val="continue"/>
            <w:vAlign w:val="center"/>
          </w:tcPr>
          <w:p>
            <w:pPr>
              <w:pStyle w:val="15"/>
              <w:rPr>
                <w:color w:val="000000"/>
              </w:rPr>
            </w:pPr>
          </w:p>
        </w:tc>
        <w:tc>
          <w:tcPr>
            <w:tcW w:w="1470" w:type="dxa"/>
            <w:vMerge w:val="continue"/>
            <w:vAlign w:val="center"/>
          </w:tcPr>
          <w:p>
            <w:pPr>
              <w:pStyle w:val="15"/>
              <w:rPr>
                <w:color w:val="000000"/>
              </w:rPr>
            </w:pPr>
          </w:p>
        </w:tc>
        <w:tc>
          <w:tcPr>
            <w:tcW w:w="903" w:type="dxa"/>
            <w:vAlign w:val="center"/>
          </w:tcPr>
          <w:p>
            <w:pPr>
              <w:pStyle w:val="15"/>
              <w:rPr>
                <w:color w:val="000000"/>
              </w:rPr>
            </w:pPr>
            <w:r>
              <w:rPr>
                <w:rFonts w:hint="eastAsia"/>
                <w:color w:val="000000"/>
              </w:rPr>
              <w:t>7</w:t>
            </w:r>
          </w:p>
        </w:tc>
        <w:tc>
          <w:tcPr>
            <w:tcW w:w="1738" w:type="dxa"/>
            <w:vAlign w:val="center"/>
          </w:tcPr>
          <w:p>
            <w:pPr>
              <w:pStyle w:val="15"/>
              <w:rPr>
                <w:color w:val="000000"/>
              </w:rPr>
            </w:pPr>
            <w:r>
              <w:rPr>
                <w:rFonts w:hint="eastAsia"/>
                <w:color w:val="000000"/>
              </w:rPr>
              <w:t>0</w:t>
            </w:r>
          </w:p>
        </w:tc>
        <w:tc>
          <w:tcPr>
            <w:tcW w:w="1895" w:type="dxa"/>
            <w:vAlign w:val="center"/>
          </w:tcPr>
          <w:p>
            <w:pPr>
              <w:pStyle w:val="15"/>
              <w:rPr>
                <w:color w:val="000000"/>
              </w:rPr>
            </w:pPr>
            <w:r>
              <w:rPr>
                <w:rFonts w:hint="eastAsia"/>
                <w:color w:val="000000"/>
              </w:rPr>
              <w:t>1</w:t>
            </w:r>
          </w:p>
        </w:tc>
        <w:tc>
          <w:tcPr>
            <w:tcW w:w="1738" w:type="dxa"/>
            <w:vAlign w:val="center"/>
          </w:tcPr>
          <w:p>
            <w:pPr>
              <w:pStyle w:val="15"/>
              <w:rPr>
                <w:color w:val="000000"/>
              </w:rPr>
            </w:pPr>
            <w:r>
              <w:rPr>
                <w:rFonts w:hint="eastAsia"/>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30" w:type="dxa"/>
            <w:vMerge w:val="continue"/>
            <w:vAlign w:val="center"/>
          </w:tcPr>
          <w:p>
            <w:pPr>
              <w:pStyle w:val="15"/>
              <w:rPr>
                <w:szCs w:val="21"/>
              </w:rPr>
            </w:pPr>
          </w:p>
        </w:tc>
        <w:tc>
          <w:tcPr>
            <w:tcW w:w="1470" w:type="dxa"/>
            <w:vMerge w:val="continue"/>
            <w:vAlign w:val="center"/>
          </w:tcPr>
          <w:p>
            <w:pPr>
              <w:pStyle w:val="15"/>
              <w:rPr>
                <w:szCs w:val="21"/>
              </w:rPr>
            </w:pPr>
          </w:p>
        </w:tc>
        <w:tc>
          <w:tcPr>
            <w:tcW w:w="6274" w:type="dxa"/>
            <w:gridSpan w:val="4"/>
            <w:vAlign w:val="center"/>
          </w:tcPr>
          <w:p>
            <w:pPr>
              <w:pStyle w:val="15"/>
              <w:rPr>
                <w:szCs w:val="21"/>
              </w:rPr>
            </w:pPr>
            <w:r>
              <w:rPr>
                <w:szCs w:val="21"/>
              </w:rPr>
              <w:t>水闸</w:t>
            </w:r>
            <w:r>
              <w:rPr>
                <w:rFonts w:hint="eastAsia"/>
                <w:szCs w:val="21"/>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30" w:type="dxa"/>
            <w:vMerge w:val="continue"/>
            <w:vAlign w:val="center"/>
          </w:tcPr>
          <w:p>
            <w:pPr>
              <w:pStyle w:val="15"/>
              <w:rPr>
                <w:szCs w:val="21"/>
              </w:rPr>
            </w:pPr>
          </w:p>
        </w:tc>
        <w:tc>
          <w:tcPr>
            <w:tcW w:w="1470" w:type="dxa"/>
            <w:vMerge w:val="continue"/>
            <w:vAlign w:val="center"/>
          </w:tcPr>
          <w:p>
            <w:pPr>
              <w:pStyle w:val="15"/>
              <w:rPr>
                <w:szCs w:val="21"/>
              </w:rPr>
            </w:pPr>
          </w:p>
        </w:tc>
        <w:tc>
          <w:tcPr>
            <w:tcW w:w="903" w:type="dxa"/>
            <w:vAlign w:val="center"/>
          </w:tcPr>
          <w:p>
            <w:pPr>
              <w:pStyle w:val="15"/>
              <w:rPr>
                <w:szCs w:val="21"/>
              </w:rPr>
            </w:pPr>
            <w:r>
              <w:rPr>
                <w:szCs w:val="21"/>
              </w:rPr>
              <w:t>小计</w:t>
            </w:r>
          </w:p>
        </w:tc>
        <w:tc>
          <w:tcPr>
            <w:tcW w:w="1738" w:type="dxa"/>
            <w:vAlign w:val="center"/>
          </w:tcPr>
          <w:p>
            <w:pPr>
              <w:pStyle w:val="15"/>
              <w:rPr>
                <w:szCs w:val="21"/>
              </w:rPr>
            </w:pPr>
            <w:r>
              <w:rPr>
                <w:szCs w:val="21"/>
              </w:rPr>
              <w:t>大型</w:t>
            </w:r>
          </w:p>
        </w:tc>
        <w:tc>
          <w:tcPr>
            <w:tcW w:w="3633" w:type="dxa"/>
            <w:gridSpan w:val="2"/>
            <w:vAlign w:val="center"/>
          </w:tcPr>
          <w:p>
            <w:pPr>
              <w:pStyle w:val="15"/>
              <w:rPr>
                <w:szCs w:val="21"/>
              </w:rPr>
            </w:pPr>
            <w:r>
              <w:rPr>
                <w:szCs w:val="21"/>
              </w:rPr>
              <w:t>中型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30" w:type="dxa"/>
            <w:vMerge w:val="continue"/>
            <w:vAlign w:val="center"/>
          </w:tcPr>
          <w:p>
            <w:pPr>
              <w:pStyle w:val="15"/>
              <w:rPr>
                <w:szCs w:val="21"/>
              </w:rPr>
            </w:pPr>
          </w:p>
        </w:tc>
        <w:tc>
          <w:tcPr>
            <w:tcW w:w="1470" w:type="dxa"/>
            <w:vMerge w:val="continue"/>
            <w:vAlign w:val="center"/>
          </w:tcPr>
          <w:p>
            <w:pPr>
              <w:pStyle w:val="15"/>
              <w:rPr>
                <w:szCs w:val="21"/>
              </w:rPr>
            </w:pPr>
          </w:p>
        </w:tc>
        <w:tc>
          <w:tcPr>
            <w:tcW w:w="903" w:type="dxa"/>
            <w:vAlign w:val="center"/>
          </w:tcPr>
          <w:p>
            <w:pPr>
              <w:pStyle w:val="15"/>
              <w:rPr>
                <w:szCs w:val="21"/>
              </w:rPr>
            </w:pPr>
            <w:r>
              <w:rPr>
                <w:rFonts w:hint="eastAsia"/>
                <w:szCs w:val="21"/>
              </w:rPr>
              <w:t>1</w:t>
            </w:r>
          </w:p>
        </w:tc>
        <w:tc>
          <w:tcPr>
            <w:tcW w:w="1738" w:type="dxa"/>
            <w:vAlign w:val="center"/>
          </w:tcPr>
          <w:p>
            <w:pPr>
              <w:pStyle w:val="15"/>
              <w:rPr>
                <w:szCs w:val="21"/>
              </w:rPr>
            </w:pPr>
            <w:r>
              <w:rPr>
                <w:rFonts w:hint="eastAsia"/>
                <w:szCs w:val="21"/>
              </w:rPr>
              <w:t>1</w:t>
            </w:r>
          </w:p>
        </w:tc>
        <w:tc>
          <w:tcPr>
            <w:tcW w:w="3633" w:type="dxa"/>
            <w:gridSpan w:val="2"/>
            <w:vAlign w:val="center"/>
          </w:tcPr>
          <w:p>
            <w:pPr>
              <w:pStyle w:val="15"/>
              <w:rPr>
                <w:szCs w:val="21"/>
              </w:rPr>
            </w:pPr>
            <w:r>
              <w:rPr>
                <w:rFonts w:hint="eastAsia"/>
                <w:szCs w:val="21"/>
              </w:rPr>
              <w:t>0</w:t>
            </w:r>
          </w:p>
        </w:tc>
      </w:tr>
    </w:tbl>
    <w:p>
      <w:pPr>
        <w:pStyle w:val="14"/>
        <w:spacing w:line="360" w:lineRule="auto"/>
        <w:ind w:firstLine="0" w:firstLineChars="0"/>
        <w:sectPr>
          <w:footerReference r:id="rId11" w:type="default"/>
          <w:pgSz w:w="11906" w:h="16838"/>
          <w:pgMar w:top="1871" w:right="1474" w:bottom="1701" w:left="1474" w:header="851" w:footer="1361" w:gutter="0"/>
          <w:pgNumType w:start="1"/>
          <w:cols w:space="425" w:num="1"/>
          <w:docGrid w:type="lines" w:linePitch="435" w:charSpace="0"/>
        </w:sectPr>
      </w:pPr>
    </w:p>
    <w:p>
      <w:pPr>
        <w:rPr>
          <w:rFonts w:hint="eastAsia"/>
        </w:rPr>
      </w:pPr>
      <w:r>
        <w:rPr>
          <w:rFonts w:eastAsia="黑体" w:cs="Times New Roman"/>
          <w:b/>
          <w:sz w:val="18"/>
          <w:szCs w:val="18"/>
        </w:rPr>
        <w:drawing>
          <wp:anchor distT="0" distB="0" distL="114300" distR="114300" simplePos="0" relativeHeight="252422144" behindDoc="0" locked="0" layoutInCell="1" allowOverlap="1">
            <wp:simplePos x="0" y="0"/>
            <wp:positionH relativeFrom="column">
              <wp:posOffset>-289560</wp:posOffset>
            </wp:positionH>
            <wp:positionV relativeFrom="paragraph">
              <wp:posOffset>2485390</wp:posOffset>
            </wp:positionV>
            <wp:extent cx="5843905" cy="4069715"/>
            <wp:effectExtent l="0" t="0" r="4445" b="6985"/>
            <wp:wrapTopAndBottom/>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5"/>
                    <a:stretch>
                      <a:fillRect/>
                    </a:stretch>
                  </pic:blipFill>
                  <pic:spPr>
                    <a:xfrm>
                      <a:off x="0" y="0"/>
                      <a:ext cx="5843905" cy="4069715"/>
                    </a:xfrm>
                    <a:prstGeom prst="rect">
                      <a:avLst/>
                    </a:prstGeom>
                    <a:noFill/>
                    <a:ln>
                      <a:noFill/>
                    </a:ln>
                  </pic:spPr>
                </pic:pic>
              </a:graphicData>
            </a:graphic>
          </wp:anchor>
        </w:drawing>
      </w:r>
      <w:r>
        <w:rPr>
          <w:rFonts w:hint="eastAsia"/>
        </w:rPr>
        <w:t>新晃侗族自治县此次划界对象总体分布呈现两个特征：一是覆盖范围较广，各水利工程空间位置共涉及6个乡镇（街道）；二是分布位置较散，水库、水闸零星散落分布在全县各个角落，无明显集中分布情况，其中晃州镇分布有三处水利工程，在新晃各镇中数量最多。水利工程空间位置分布情况如图</w:t>
      </w:r>
      <w:r>
        <w:rPr>
          <w:rFonts w:hint="eastAsia"/>
          <w:lang w:val="en-US" w:eastAsia="zh-CN"/>
        </w:rPr>
        <w:t>1</w:t>
      </w:r>
      <w:r>
        <w:rPr>
          <w:rFonts w:hint="eastAsia"/>
        </w:rPr>
        <w:t>-2所示。</w:t>
      </w:r>
    </w:p>
    <w:p>
      <w:pPr>
        <w:pStyle w:val="14"/>
        <w:spacing w:line="360" w:lineRule="auto"/>
        <w:ind w:firstLine="0" w:firstLineChars="0"/>
      </w:pPr>
      <w:r>
        <w:rPr>
          <w:rFonts w:hint="eastAsia"/>
          <w:lang w:eastAsia="zh-CN"/>
        </w:rPr>
        <w:t>图</w:t>
      </w:r>
      <w:r>
        <w:rPr>
          <w:rFonts w:hint="eastAsia"/>
          <w:lang w:val="en-US" w:eastAsia="zh-CN"/>
        </w:rPr>
        <w:t xml:space="preserve">1-2 </w:t>
      </w:r>
      <w:r>
        <w:t>新</w:t>
      </w:r>
      <w:r>
        <w:rPr>
          <w:rFonts w:hint="eastAsia"/>
        </w:rPr>
        <w:t>晃侗族自治</w:t>
      </w:r>
      <w:r>
        <w:t>县水利工程</w:t>
      </w:r>
      <w:r>
        <w:rPr>
          <w:rFonts w:hint="eastAsia"/>
          <w:lang w:eastAsia="zh-CN"/>
        </w:rPr>
        <w:t>空间位置</w:t>
      </w:r>
      <w:r>
        <w:t>分布</w:t>
      </w:r>
      <w:r>
        <w:rPr>
          <w:rFonts w:hint="eastAsia"/>
          <w:lang w:eastAsia="zh-CN"/>
        </w:rPr>
        <w:t>示意</w:t>
      </w:r>
      <w:r>
        <w:t>图</w:t>
      </w:r>
    </w:p>
    <w:p>
      <w:pPr>
        <w:pStyle w:val="14"/>
        <w:spacing w:line="360" w:lineRule="auto"/>
        <w:ind w:firstLine="0" w:firstLineChars="0"/>
      </w:pPr>
    </w:p>
    <w:p>
      <w:pPr>
        <w:pStyle w:val="14"/>
        <w:spacing w:line="360" w:lineRule="auto"/>
        <w:ind w:firstLine="0" w:firstLineChars="0"/>
      </w:pPr>
    </w:p>
    <w:p>
      <w:pPr>
        <w:pStyle w:val="4"/>
        <w:spacing w:before="0" w:beforeLines="-2147483648" w:beforeAutospacing="0" w:after="0" w:afterLines="-2147483648" w:afterAutospacing="0" w:line="680" w:lineRule="exact"/>
        <w:ind w:firstLine="640"/>
        <w:outlineLvl w:val="1"/>
        <w:rPr>
          <w:rFonts w:hint="eastAsia"/>
          <w:b w:val="0"/>
          <w:bCs/>
          <w:szCs w:val="32"/>
        </w:rPr>
      </w:pPr>
      <w:bookmarkStart w:id="40" w:name="_Toc60738491"/>
      <w:bookmarkStart w:id="41" w:name="_Toc6598"/>
      <w:r>
        <w:rPr>
          <w:rFonts w:hint="eastAsia"/>
          <w:b w:val="0"/>
          <w:bCs/>
          <w:szCs w:val="32"/>
        </w:rPr>
        <w:t>2.1.1 水库基本信息</w:t>
      </w:r>
      <w:bookmarkEnd w:id="40"/>
      <w:bookmarkEnd w:id="41"/>
    </w:p>
    <w:p>
      <w:pPr>
        <w:bidi w:val="0"/>
      </w:pPr>
      <w:r>
        <w:t>1</w:t>
      </w:r>
      <w:r>
        <w:rPr>
          <w:rFonts w:hint="eastAsia"/>
        </w:rPr>
        <w:t>.朝阳水库</w:t>
      </w:r>
    </w:p>
    <w:p>
      <w:pPr>
        <w:rPr>
          <w:rFonts w:hint="eastAsia" w:cs="Times New Roman"/>
          <w:color w:val="000000" w:themeColor="text1"/>
          <w:lang w:eastAsia="zh-CN"/>
          <w14:textFill>
            <w14:solidFill>
              <w14:schemeClr w14:val="tx1"/>
            </w14:solidFill>
          </w14:textFill>
        </w:rPr>
      </w:pPr>
      <w:r>
        <w:rPr>
          <w:rFonts w:hint="eastAsia"/>
          <w:lang w:val="en-US" w:eastAsia="zh-CN"/>
        </w:rPr>
        <w:t>新晃侗族自治县朝阳水库位于沅水一级支流㵲水支流平溪河上。</w:t>
      </w:r>
      <w:r>
        <w:rPr>
          <w:rFonts w:hint="eastAsia" w:cs="Times New Roman"/>
          <w:color w:val="000000" w:themeColor="text1"/>
          <w14:textFill>
            <w14:solidFill>
              <w14:schemeClr w14:val="tx1"/>
            </w14:solidFill>
          </w14:textFill>
        </w:rPr>
        <w:t>注册登记号：43120030011-A3</w:t>
      </w:r>
      <w:r>
        <w:rPr>
          <w:rFonts w:hint="eastAsia" w:cs="Times New Roman"/>
          <w:color w:val="000000" w:themeColor="text1"/>
          <w:lang w:eastAsia="zh-CN"/>
          <w14:textFill>
            <w14:solidFill>
              <w14:schemeClr w14:val="tx1"/>
            </w14:solidFill>
          </w14:textFill>
        </w:rPr>
        <w:t>，</w:t>
      </w:r>
      <w:r>
        <w:rPr>
          <w:rFonts w:hint="eastAsia" w:cs="Times New Roman"/>
          <w:color w:val="000000" w:themeColor="text1"/>
          <w14:textFill>
            <w14:solidFill>
              <w14:schemeClr w14:val="tx1"/>
            </w14:solidFill>
          </w14:textFill>
        </w:rPr>
        <w:t>大坝坝址位于新晃</w:t>
      </w:r>
      <w:r>
        <w:rPr>
          <w:rFonts w:hint="eastAsia" w:cs="Times New Roman"/>
          <w:color w:val="000000" w:themeColor="text1"/>
          <w:lang w:eastAsia="zh-CN"/>
          <w14:textFill>
            <w14:solidFill>
              <w14:schemeClr w14:val="tx1"/>
            </w14:solidFill>
          </w14:textFill>
        </w:rPr>
        <w:t>侗族自治</w:t>
      </w:r>
      <w:r>
        <w:rPr>
          <w:rFonts w:hint="eastAsia" w:cs="Times New Roman"/>
          <w:color w:val="000000" w:themeColor="text1"/>
          <w14:textFill>
            <w14:solidFill>
              <w14:schemeClr w14:val="tx1"/>
            </w14:solidFill>
          </w14:textFill>
        </w:rPr>
        <w:t>县</w:t>
      </w:r>
      <w:r>
        <w:rPr>
          <w:rFonts w:hint="eastAsia" w:cs="Times New Roman"/>
          <w:color w:val="000000" w:themeColor="text1"/>
          <w:lang w:eastAsia="zh-CN"/>
          <w14:textFill>
            <w14:solidFill>
              <w14:schemeClr w14:val="tx1"/>
            </w14:solidFill>
          </w14:textFill>
        </w:rPr>
        <w:t>扶罗镇新寨</w:t>
      </w:r>
      <w:r>
        <w:rPr>
          <w:rFonts w:hint="eastAsia" w:cs="Times New Roman"/>
          <w:color w:val="000000" w:themeColor="text1"/>
          <w14:textFill>
            <w14:solidFill>
              <w14:schemeClr w14:val="tx1"/>
            </w14:solidFill>
          </w14:textFill>
        </w:rPr>
        <w:t>村</w:t>
      </w:r>
      <w:r>
        <w:rPr>
          <w:rFonts w:hint="eastAsia" w:cs="Times New Roman"/>
          <w:color w:val="000000" w:themeColor="text1"/>
          <w:lang w:eastAsia="zh-CN"/>
          <w14:textFill>
            <w14:solidFill>
              <w14:schemeClr w14:val="tx1"/>
            </w14:solidFill>
          </w14:textFill>
        </w:rPr>
        <w:t>。</w:t>
      </w:r>
    </w:p>
    <w:p>
      <w:pPr>
        <w:rPr>
          <w:rFonts w:hint="eastAsia" w:eastAsia="仿宋_GB2312" w:cs="Times New Roman"/>
          <w:color w:val="000000" w:themeColor="text1"/>
          <w:vertAlign w:val="baseline"/>
          <w:lang w:val="en-US"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朝阳水库</w:t>
      </w:r>
      <w:r>
        <w:rPr>
          <w:rFonts w:hint="eastAsia" w:cs="Times New Roman"/>
          <w:color w:val="000000" w:themeColor="text1"/>
          <w14:textFill>
            <w14:solidFill>
              <w14:schemeClr w14:val="tx1"/>
            </w14:solidFill>
          </w14:textFill>
        </w:rPr>
        <w:t>坝址控制流域面积41.5km</w:t>
      </w:r>
      <w:r>
        <w:rPr>
          <w:rFonts w:hint="eastAsia" w:cs="Times New Roman"/>
          <w:color w:val="000000" w:themeColor="text1"/>
          <w:vertAlign w:val="superscript"/>
          <w14:textFill>
            <w14:solidFill>
              <w14:schemeClr w14:val="tx1"/>
            </w14:solidFill>
          </w14:textFill>
        </w:rPr>
        <w:t>2</w:t>
      </w:r>
      <w:r>
        <w:rPr>
          <w:rFonts w:hint="eastAsia" w:cs="Times New Roman"/>
          <w:color w:val="000000" w:themeColor="text1"/>
          <w:vertAlign w:val="baseline"/>
          <w:lang w:eastAsia="zh-CN"/>
          <w14:textFill>
            <w14:solidFill>
              <w14:schemeClr w14:val="tx1"/>
            </w14:solidFill>
          </w14:textFill>
        </w:rPr>
        <w:t>，水库</w:t>
      </w:r>
      <w:r>
        <w:rPr>
          <w:rFonts w:hint="eastAsia" w:cs="Times New Roman"/>
          <w:color w:val="000000" w:themeColor="text1"/>
          <w14:textFill>
            <w14:solidFill>
              <w14:schemeClr w14:val="tx1"/>
            </w14:solidFill>
          </w14:textFill>
        </w:rPr>
        <w:t>总库容1384万m</w:t>
      </w:r>
      <w:r>
        <w:rPr>
          <w:rFonts w:hint="eastAsia" w:cs="Times New Roman"/>
          <w:color w:val="000000" w:themeColor="text1"/>
          <w:vertAlign w:val="superscript"/>
          <w14:textFill>
            <w14:solidFill>
              <w14:schemeClr w14:val="tx1"/>
            </w14:solidFill>
          </w14:textFill>
        </w:rPr>
        <w:t>3</w:t>
      </w:r>
      <w:r>
        <w:rPr>
          <w:rFonts w:hint="eastAsia" w:cs="Times New Roman"/>
          <w:color w:val="000000" w:themeColor="text1"/>
          <w:vertAlign w:val="baseline"/>
          <w:lang w:eastAsia="zh-CN"/>
          <w14:textFill>
            <w14:solidFill>
              <w14:schemeClr w14:val="tx1"/>
            </w14:solidFill>
          </w14:textFill>
        </w:rPr>
        <w:t>，水库</w:t>
      </w:r>
      <w:r>
        <w:rPr>
          <w:rFonts w:hint="eastAsia" w:cs="Times New Roman"/>
          <w:color w:val="000000" w:themeColor="text1"/>
          <w:lang w:eastAsia="zh-CN"/>
          <w14:textFill>
            <w14:solidFill>
              <w14:schemeClr w14:val="tx1"/>
            </w14:solidFill>
          </w14:textFill>
        </w:rPr>
        <w:t>兴利</w:t>
      </w:r>
      <w:r>
        <w:rPr>
          <w:rFonts w:hint="eastAsia" w:cs="Times New Roman"/>
          <w:color w:val="000000" w:themeColor="text1"/>
          <w14:textFill>
            <w14:solidFill>
              <w14:schemeClr w14:val="tx1"/>
            </w14:solidFill>
          </w14:textFill>
        </w:rPr>
        <w:t>库容</w:t>
      </w:r>
      <w:r>
        <w:rPr>
          <w:rFonts w:hint="eastAsia" w:cs="Times New Roman"/>
          <w:color w:val="000000" w:themeColor="text1"/>
          <w:lang w:val="en-US" w:eastAsia="zh-CN"/>
          <w14:textFill>
            <w14:solidFill>
              <w14:schemeClr w14:val="tx1"/>
            </w14:solidFill>
          </w14:textFill>
        </w:rPr>
        <w:t>1080</w:t>
      </w:r>
      <w:r>
        <w:rPr>
          <w:rFonts w:hint="eastAsia" w:cs="Times New Roman"/>
          <w:color w:val="000000" w:themeColor="text1"/>
          <w14:textFill>
            <w14:solidFill>
              <w14:schemeClr w14:val="tx1"/>
            </w14:solidFill>
          </w14:textFill>
        </w:rPr>
        <w:t>万m</w:t>
      </w:r>
      <w:r>
        <w:rPr>
          <w:rFonts w:hint="eastAsia" w:cs="Times New Roman"/>
          <w:color w:val="000000" w:themeColor="text1"/>
          <w:vertAlign w:val="superscript"/>
          <w14:textFill>
            <w14:solidFill>
              <w14:schemeClr w14:val="tx1"/>
            </w14:solidFill>
          </w14:textFill>
        </w:rPr>
        <w:t>3</w:t>
      </w:r>
      <w:r>
        <w:rPr>
          <w:rFonts w:hint="eastAsia" w:cs="Times New Roman"/>
          <w:color w:val="000000" w:themeColor="text1"/>
          <w:vertAlign w:val="baseline"/>
          <w:lang w:eastAsia="zh-CN"/>
          <w14:textFill>
            <w14:solidFill>
              <w14:schemeClr w14:val="tx1"/>
            </w14:solidFill>
          </w14:textFill>
        </w:rPr>
        <w:t>，</w:t>
      </w:r>
      <w:r>
        <w:rPr>
          <w:rFonts w:hint="eastAsia" w:cs="Times New Roman"/>
          <w:color w:val="000000" w:themeColor="text1"/>
          <w:lang w:eastAsia="zh-CN"/>
          <w14:textFill>
            <w14:solidFill>
              <w14:schemeClr w14:val="tx1"/>
            </w14:solidFill>
          </w14:textFill>
        </w:rPr>
        <w:t>死</w:t>
      </w:r>
      <w:r>
        <w:rPr>
          <w:rFonts w:hint="eastAsia" w:cs="Times New Roman"/>
          <w:color w:val="000000" w:themeColor="text1"/>
          <w14:textFill>
            <w14:solidFill>
              <w14:schemeClr w14:val="tx1"/>
            </w14:solidFill>
          </w14:textFill>
        </w:rPr>
        <w:t>库容</w:t>
      </w:r>
      <w:r>
        <w:rPr>
          <w:rFonts w:hint="eastAsia" w:cs="Times New Roman"/>
          <w:color w:val="000000" w:themeColor="text1"/>
          <w:lang w:val="en-US" w:eastAsia="zh-CN"/>
          <w14:textFill>
            <w14:solidFill>
              <w14:schemeClr w14:val="tx1"/>
            </w14:solidFill>
          </w14:textFill>
        </w:rPr>
        <w:t>120</w:t>
      </w:r>
      <w:r>
        <w:rPr>
          <w:rFonts w:hint="eastAsia" w:cs="Times New Roman"/>
          <w:color w:val="000000" w:themeColor="text1"/>
          <w14:textFill>
            <w14:solidFill>
              <w14:schemeClr w14:val="tx1"/>
            </w14:solidFill>
          </w14:textFill>
        </w:rPr>
        <w:t>万m</w:t>
      </w:r>
      <w:r>
        <w:rPr>
          <w:rFonts w:hint="eastAsia" w:cs="Times New Roman"/>
          <w:color w:val="000000" w:themeColor="text1"/>
          <w:vertAlign w:val="superscript"/>
          <w14:textFill>
            <w14:solidFill>
              <w14:schemeClr w14:val="tx1"/>
            </w14:solidFill>
          </w14:textFill>
        </w:rPr>
        <w:t>3</w:t>
      </w:r>
      <w:r>
        <w:rPr>
          <w:rFonts w:hint="eastAsia" w:cs="Times New Roman"/>
          <w:color w:val="000000" w:themeColor="text1"/>
          <w:vertAlign w:val="baseline"/>
          <w:lang w:eastAsia="zh-CN"/>
          <w14:textFill>
            <w14:solidFill>
              <w14:schemeClr w14:val="tx1"/>
            </w14:solidFill>
          </w14:textFill>
        </w:rPr>
        <w:t>，</w:t>
      </w:r>
      <w:r>
        <w:rPr>
          <w:rFonts w:hint="eastAsia" w:cs="Times New Roman"/>
          <w:color w:val="000000" w:themeColor="text1"/>
          <w:lang w:eastAsia="zh-CN"/>
          <w14:textFill>
            <w14:solidFill>
              <w14:schemeClr w14:val="tx1"/>
            </w14:solidFill>
          </w14:textFill>
        </w:rPr>
        <w:t>调洪</w:t>
      </w:r>
      <w:r>
        <w:rPr>
          <w:rFonts w:hint="eastAsia" w:cs="Times New Roman"/>
          <w:color w:val="000000" w:themeColor="text1"/>
          <w14:textFill>
            <w14:solidFill>
              <w14:schemeClr w14:val="tx1"/>
            </w14:solidFill>
          </w14:textFill>
        </w:rPr>
        <w:t>库容</w:t>
      </w:r>
      <w:r>
        <w:rPr>
          <w:rFonts w:hint="eastAsia" w:cs="Times New Roman"/>
          <w:color w:val="000000" w:themeColor="text1"/>
          <w:lang w:val="en-US" w:eastAsia="zh-CN"/>
          <w14:textFill>
            <w14:solidFill>
              <w14:schemeClr w14:val="tx1"/>
            </w14:solidFill>
          </w14:textFill>
        </w:rPr>
        <w:t>184</w:t>
      </w:r>
      <w:r>
        <w:rPr>
          <w:rFonts w:hint="eastAsia" w:cs="Times New Roman"/>
          <w:color w:val="000000" w:themeColor="text1"/>
          <w14:textFill>
            <w14:solidFill>
              <w14:schemeClr w14:val="tx1"/>
            </w14:solidFill>
          </w14:textFill>
        </w:rPr>
        <w:t>万m</w:t>
      </w:r>
      <w:r>
        <w:rPr>
          <w:rFonts w:hint="eastAsia" w:cs="Times New Roman"/>
          <w:color w:val="000000" w:themeColor="text1"/>
          <w:vertAlign w:val="superscript"/>
          <w14:textFill>
            <w14:solidFill>
              <w14:schemeClr w14:val="tx1"/>
            </w14:solidFill>
          </w14:textFill>
        </w:rPr>
        <w:t>3</w:t>
      </w:r>
      <w:r>
        <w:rPr>
          <w:rFonts w:hint="eastAsia" w:cs="Times New Roman"/>
          <w:color w:val="000000" w:themeColor="text1"/>
          <w:vertAlign w:val="baseline"/>
          <w:lang w:eastAsia="zh-CN"/>
          <w14:textFill>
            <w14:solidFill>
              <w14:schemeClr w14:val="tx1"/>
            </w14:solidFill>
          </w14:textFill>
        </w:rPr>
        <w:t>，</w:t>
      </w:r>
      <w:r>
        <w:rPr>
          <w:rFonts w:hint="eastAsia" w:cs="Times New Roman"/>
          <w:color w:val="000000" w:themeColor="text1"/>
          <w14:textFill>
            <w14:solidFill>
              <w14:schemeClr w14:val="tx1"/>
            </w14:solidFill>
          </w14:textFill>
        </w:rPr>
        <w:t>是一座以灌溉为主，结合防洪、发电、养殖等有中和效应的中型水库。</w:t>
      </w:r>
    </w:p>
    <w:p>
      <w:pPr>
        <w:bidi w:val="0"/>
      </w:pPr>
      <w:r>
        <w:rPr>
          <w:rFonts w:hint="eastAsia"/>
        </w:rPr>
        <w:t>2.板凳坡水库</w:t>
      </w:r>
    </w:p>
    <w:p>
      <w:pPr>
        <w:rPr>
          <w:rFonts w:hint="eastAsia" w:eastAsia="仿宋_GB2312" w:cs="Times New Roman"/>
          <w:color w:val="000000" w:themeColor="text1"/>
          <w:vertAlign w:val="baseline"/>
          <w:lang w:val="en-US" w:eastAsia="zh-CN"/>
          <w14:textFill>
            <w14:solidFill>
              <w14:schemeClr w14:val="tx1"/>
            </w14:solidFill>
          </w14:textFill>
        </w:rPr>
      </w:pPr>
      <w:r>
        <w:rPr>
          <w:rFonts w:hint="eastAsia"/>
          <w:color w:val="000000" w:themeColor="text1"/>
          <w:lang w:eastAsia="zh-CN"/>
          <w14:textFill>
            <w14:solidFill>
              <w14:schemeClr w14:val="tx1"/>
            </w14:solidFill>
          </w14:textFill>
        </w:rPr>
        <w:t>板凳坡</w:t>
      </w:r>
      <w:r>
        <w:rPr>
          <w:rFonts w:hint="eastAsia"/>
          <w:color w:val="000000" w:themeColor="text1"/>
          <w14:textFill>
            <w14:solidFill>
              <w14:schemeClr w14:val="tx1"/>
            </w14:solidFill>
          </w14:textFill>
        </w:rPr>
        <w:t>水库位于沅水流域</w:t>
      </w:r>
      <w:r>
        <w:rPr>
          <w:rFonts w:hint="eastAsia"/>
        </w:rPr>
        <w:t>㵲</w:t>
      </w:r>
      <w:r>
        <w:rPr>
          <w:rFonts w:hint="eastAsia"/>
          <w:color w:val="000000" w:themeColor="text1"/>
          <w14:textFill>
            <w14:solidFill>
              <w14:schemeClr w14:val="tx1"/>
            </w14:solidFill>
          </w14:textFill>
        </w:rPr>
        <w:t>水水系平溪支流皂溪上游，注册登记号：43122740001-A4，</w:t>
      </w:r>
      <w:r>
        <w:rPr>
          <w:rFonts w:hint="eastAsia"/>
          <w:color w:val="000000" w:themeColor="text1"/>
          <w:lang w:eastAsia="zh-CN"/>
          <w14:textFill>
            <w14:solidFill>
              <w14:schemeClr w14:val="tx1"/>
            </w14:solidFill>
          </w14:textFill>
        </w:rPr>
        <w:t>坝址</w:t>
      </w:r>
      <w:r>
        <w:rPr>
          <w:rFonts w:hint="eastAsia"/>
          <w:color w:val="000000" w:themeColor="text1"/>
          <w14:textFill>
            <w14:solidFill>
              <w14:schemeClr w14:val="tx1"/>
            </w14:solidFill>
          </w14:textFill>
        </w:rPr>
        <w:t>位于新晃</w:t>
      </w:r>
      <w:r>
        <w:rPr>
          <w:rFonts w:hint="eastAsia"/>
          <w:color w:val="000000" w:themeColor="text1"/>
          <w:lang w:eastAsia="zh-CN"/>
          <w14:textFill>
            <w14:solidFill>
              <w14:schemeClr w14:val="tx1"/>
            </w14:solidFill>
          </w14:textFill>
        </w:rPr>
        <w:t>侗族自治</w:t>
      </w:r>
      <w:r>
        <w:rPr>
          <w:rFonts w:hint="eastAsia"/>
          <w:color w:val="000000" w:themeColor="text1"/>
          <w14:textFill>
            <w14:solidFill>
              <w14:schemeClr w14:val="tx1"/>
            </w14:solidFill>
          </w14:textFill>
        </w:rPr>
        <w:t>县贡溪</w:t>
      </w:r>
      <w:r>
        <w:rPr>
          <w:rFonts w:hint="eastAsia"/>
          <w:color w:val="000000" w:themeColor="text1"/>
          <w:lang w:eastAsia="zh-CN"/>
          <w14:textFill>
            <w14:solidFill>
              <w14:schemeClr w14:val="tx1"/>
            </w14:solidFill>
          </w14:textFill>
        </w:rPr>
        <w:t>镇贡溪</w:t>
      </w:r>
      <w:r>
        <w:rPr>
          <w:rFonts w:hint="eastAsia"/>
          <w:color w:val="000000" w:themeColor="text1"/>
          <w14:textFill>
            <w14:solidFill>
              <w14:schemeClr w14:val="tx1"/>
            </w14:solidFill>
          </w14:textFill>
        </w:rPr>
        <w:t>村境内</w:t>
      </w:r>
      <w:r>
        <w:rPr>
          <w:rFonts w:hint="eastAsia"/>
          <w:color w:val="000000" w:themeColor="text1"/>
          <w:lang w:eastAsia="zh-CN"/>
          <w14:textFill>
            <w14:solidFill>
              <w14:schemeClr w14:val="tx1"/>
            </w14:solidFill>
          </w14:textFill>
        </w:rPr>
        <w:t>。</w:t>
      </w:r>
    </w:p>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板凳坡水库</w:t>
      </w:r>
      <w:r>
        <w:rPr>
          <w:rFonts w:hint="eastAsia"/>
          <w:color w:val="000000" w:themeColor="text1"/>
          <w14:textFill>
            <w14:solidFill>
              <w14:schemeClr w14:val="tx1"/>
            </w14:solidFill>
          </w14:textFill>
        </w:rPr>
        <w:t>集雨面积66.95km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，总库容172.96万m</w:t>
      </w:r>
      <w:r>
        <w:rPr>
          <w:rFonts w:hint="eastAsia"/>
          <w:color w:val="000000" w:themeColor="text1"/>
          <w:vertAlign w:val="superscript"/>
          <w14:textFill>
            <w14:solidFill>
              <w14:schemeClr w14:val="tx1"/>
            </w14:solidFill>
          </w14:textFill>
        </w:rPr>
        <w:t>3</w:t>
      </w:r>
      <w:r>
        <w:rPr>
          <w:rFonts w:hint="eastAsia"/>
          <w:color w:val="000000" w:themeColor="text1"/>
          <w:vertAlign w:val="baseline"/>
          <w:lang w:eastAsia="zh-CN"/>
          <w14:textFill>
            <w14:solidFill>
              <w14:schemeClr w14:val="tx1"/>
            </w14:solidFill>
          </w14:textFill>
        </w:rPr>
        <w:t>，</w:t>
      </w:r>
      <w:r>
        <w:rPr>
          <w:rFonts w:hint="eastAsia"/>
          <w:color w:val="000000" w:themeColor="text1"/>
          <w14:textFill>
            <w14:solidFill>
              <w14:schemeClr w14:val="tx1"/>
            </w14:solidFill>
          </w14:textFill>
        </w:rPr>
        <w:t>是一座以灌溉为主，兼有防洪、发电、养殖等综合效益的小（</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）型水利工程。</w:t>
      </w:r>
    </w:p>
    <w:p>
      <w:pPr>
        <w:bidi w:val="0"/>
      </w:pPr>
      <w:r>
        <w:rPr>
          <w:rFonts w:hint="eastAsia"/>
        </w:rPr>
        <w:t>3. 姑召水库</w:t>
      </w:r>
    </w:p>
    <w:p>
      <w:pPr>
        <w:rPr>
          <w:rFonts w:hint="eastAsia"/>
          <w:lang w:eastAsia="zh-CN"/>
        </w:rPr>
      </w:pPr>
      <w:r>
        <w:rPr>
          <w:rFonts w:hint="eastAsia"/>
          <w:color w:val="000000" w:themeColor="text1"/>
          <w:lang w:eastAsia="zh-CN"/>
          <w14:textFill>
            <w14:solidFill>
              <w14:schemeClr w14:val="tx1"/>
            </w14:solidFill>
          </w14:textFill>
        </w:rPr>
        <w:t>姑召水库位于新晃侗族自治县禾滩镇姑召村，坝址位于水一级支流平溪河支流姑召溪上，注册登记号:43122740003-A4。</w:t>
      </w:r>
    </w:p>
    <w:p>
      <w:pPr>
        <w:rPr>
          <w:rFonts w:hint="eastAsia"/>
          <w:lang w:eastAsia="zh-CN"/>
        </w:rPr>
      </w:pPr>
      <w:r>
        <w:rPr>
          <w:rFonts w:hint="eastAsia"/>
          <w:lang w:eastAsia="zh-CN"/>
        </w:rPr>
        <w:t>姑召水库</w:t>
      </w:r>
      <w:r>
        <w:rPr>
          <w:rFonts w:hint="eastAsia"/>
        </w:rPr>
        <w:t>坝址控制流域面积23.43km</w:t>
      </w:r>
      <w:r>
        <w:rPr>
          <w:rFonts w:hint="eastAsia"/>
          <w:vertAlign w:val="superscript"/>
        </w:rPr>
        <w:t>2</w:t>
      </w:r>
      <w:r>
        <w:rPr>
          <w:rFonts w:hint="eastAsia"/>
        </w:rPr>
        <w:t>，</w:t>
      </w:r>
      <w:r>
        <w:rPr>
          <w:rFonts w:hint="eastAsia"/>
          <w:lang w:eastAsia="zh-CN"/>
        </w:rPr>
        <w:t>总</w:t>
      </w:r>
      <w:r>
        <w:rPr>
          <w:rFonts w:hint="eastAsia"/>
        </w:rPr>
        <w:t>库容2</w:t>
      </w:r>
      <w:r>
        <w:rPr>
          <w:rFonts w:hint="eastAsia"/>
          <w:lang w:val="en-US" w:eastAsia="zh-CN"/>
        </w:rPr>
        <w:t>4</w:t>
      </w:r>
      <w:r>
        <w:rPr>
          <w:rFonts w:hint="eastAsia"/>
        </w:rPr>
        <w:t>4.</w:t>
      </w:r>
      <w:r>
        <w:rPr>
          <w:rFonts w:hint="eastAsia"/>
          <w:lang w:val="en-US" w:eastAsia="zh-CN"/>
        </w:rPr>
        <w:t>6</w:t>
      </w:r>
      <w:r>
        <w:rPr>
          <w:rFonts w:hint="eastAsia"/>
        </w:rPr>
        <w:t>万m</w:t>
      </w:r>
      <w:r>
        <w:rPr>
          <w:rFonts w:hint="eastAsia"/>
          <w:vertAlign w:val="superscript"/>
        </w:rPr>
        <w:t>3</w:t>
      </w:r>
      <w:r>
        <w:rPr>
          <w:rFonts w:hint="eastAsia"/>
        </w:rPr>
        <w:t>，是一座以灌溉为主，兼顾发电、防洪等综合利用的小（1）型水利工程</w:t>
      </w:r>
      <w:r>
        <w:rPr>
          <w:rFonts w:hint="eastAsia"/>
          <w:lang w:eastAsia="zh-CN"/>
        </w:rPr>
        <w:t>。</w:t>
      </w:r>
    </w:p>
    <w:p>
      <w:pPr>
        <w:bidi w:val="0"/>
      </w:pPr>
      <w:r>
        <w:rPr>
          <w:rFonts w:hint="eastAsia"/>
        </w:rPr>
        <w:t>4. 半溪水库</w:t>
      </w:r>
    </w:p>
    <w:p>
      <w:pPr>
        <w:rPr>
          <w:rFonts w:hint="eastAsia" w:cs="Times New Roman"/>
          <w:color w:val="000000" w:themeColor="text1"/>
          <w:lang w:eastAsia="zh-CN"/>
          <w14:textFill>
            <w14:solidFill>
              <w14:schemeClr w14:val="tx1"/>
            </w14:solidFill>
          </w14:textFill>
        </w:rPr>
      </w:pPr>
      <w:r>
        <w:rPr>
          <w:rFonts w:hint="eastAsia" w:cs="Times New Roman"/>
          <w:color w:val="000000" w:themeColor="text1"/>
          <w14:textFill>
            <w14:solidFill>
              <w14:schemeClr w14:val="tx1"/>
            </w14:solidFill>
          </w14:textFill>
        </w:rPr>
        <w:t>半溪水库位于沅水支流</w:t>
      </w:r>
      <w:r>
        <w:rPr>
          <w:rFonts w:hint="eastAsia"/>
        </w:rPr>
        <w:t>㵲</w:t>
      </w:r>
      <w:r>
        <w:rPr>
          <w:rFonts w:hint="eastAsia" w:cs="Times New Roman"/>
          <w:color w:val="000000" w:themeColor="text1"/>
          <w14:textFill>
            <w14:solidFill>
              <w14:schemeClr w14:val="tx1"/>
            </w14:solidFill>
          </w14:textFill>
        </w:rPr>
        <w:t>水右岸支流禾公溪，枢纽工程坐落在新晃</w:t>
      </w:r>
      <w:r>
        <w:rPr>
          <w:rFonts w:hint="eastAsia" w:cs="Times New Roman"/>
          <w:color w:val="000000" w:themeColor="text1"/>
          <w:lang w:eastAsia="zh-CN"/>
          <w14:textFill>
            <w14:solidFill>
              <w14:schemeClr w14:val="tx1"/>
            </w14:solidFill>
          </w14:textFill>
        </w:rPr>
        <w:t>侗族自治</w:t>
      </w:r>
      <w:r>
        <w:rPr>
          <w:rFonts w:hint="eastAsia" w:cs="Times New Roman"/>
          <w:color w:val="000000" w:themeColor="text1"/>
          <w14:textFill>
            <w14:solidFill>
              <w14:schemeClr w14:val="tx1"/>
            </w14:solidFill>
          </w14:textFill>
        </w:rPr>
        <w:t>县</w:t>
      </w:r>
      <w:r>
        <w:rPr>
          <w:rFonts w:hint="eastAsia" w:cs="Times New Roman"/>
          <w:color w:val="000000" w:themeColor="text1"/>
          <w:lang w:eastAsia="zh-CN"/>
          <w14:textFill>
            <w14:solidFill>
              <w14:schemeClr w14:val="tx1"/>
            </w14:solidFill>
          </w14:textFill>
        </w:rPr>
        <w:t>晃州</w:t>
      </w:r>
      <w:r>
        <w:rPr>
          <w:rFonts w:hint="eastAsia" w:cs="Times New Roman"/>
          <w:color w:val="000000" w:themeColor="text1"/>
          <w14:textFill>
            <w14:solidFill>
              <w14:schemeClr w14:val="tx1"/>
            </w14:solidFill>
          </w14:textFill>
        </w:rPr>
        <w:t>镇</w:t>
      </w:r>
      <w:r>
        <w:rPr>
          <w:rFonts w:hint="eastAsia" w:cs="Times New Roman"/>
          <w:color w:val="000000" w:themeColor="text1"/>
          <w:lang w:eastAsia="zh-CN"/>
          <w14:textFill>
            <w14:solidFill>
              <w14:schemeClr w14:val="tx1"/>
            </w14:solidFill>
          </w14:textFill>
        </w:rPr>
        <w:t>凉水井</w:t>
      </w:r>
      <w:r>
        <w:rPr>
          <w:rFonts w:hint="eastAsia" w:cs="Times New Roman"/>
          <w:color w:val="000000" w:themeColor="text1"/>
          <w14:textFill>
            <w14:solidFill>
              <w14:schemeClr w14:val="tx1"/>
            </w14:solidFill>
          </w14:textFill>
        </w:rPr>
        <w:t>村。注册登记号：43122740002-A4</w:t>
      </w:r>
      <w:r>
        <w:rPr>
          <w:rFonts w:hint="eastAsia" w:cs="Times New Roman"/>
          <w:color w:val="000000" w:themeColor="text1"/>
          <w:lang w:eastAsia="zh-CN"/>
          <w14:textFill>
            <w14:solidFill>
              <w14:schemeClr w14:val="tx1"/>
            </w14:solidFill>
          </w14:textFill>
        </w:rPr>
        <w:t>。</w:t>
      </w:r>
    </w:p>
    <w:p>
      <w:pPr>
        <w:rPr>
          <w:rFonts w:hint="eastAsia"/>
        </w:rPr>
      </w:pPr>
      <w:r>
        <w:rPr>
          <w:rFonts w:hint="eastAsia" w:cs="Times New Roman"/>
          <w:color w:val="000000" w:themeColor="text1"/>
          <w:lang w:eastAsia="zh-CN"/>
          <w14:textFill>
            <w14:solidFill>
              <w14:schemeClr w14:val="tx1"/>
            </w14:solidFill>
          </w14:textFill>
        </w:rPr>
        <w:t>半溪水库</w:t>
      </w:r>
      <w:r>
        <w:rPr>
          <w:rFonts w:hint="eastAsia" w:cs="Times New Roman"/>
          <w:color w:val="000000" w:themeColor="text1"/>
          <w14:textFill>
            <w14:solidFill>
              <w14:schemeClr w14:val="tx1"/>
            </w14:solidFill>
          </w14:textFill>
        </w:rPr>
        <w:t>控制集雨面积2.16km</w:t>
      </w:r>
      <w:r>
        <w:rPr>
          <w:rFonts w:hint="eastAsia" w:cs="Times New Roman"/>
          <w:color w:val="000000" w:themeColor="text1"/>
          <w:vertAlign w:val="superscript"/>
          <w14:textFill>
            <w14:solidFill>
              <w14:schemeClr w14:val="tx1"/>
            </w14:solidFill>
          </w14:textFill>
        </w:rPr>
        <w:t>2</w:t>
      </w:r>
      <w:r>
        <w:rPr>
          <w:rFonts w:hint="eastAsia" w:cs="Times New Roman"/>
          <w:color w:val="000000" w:themeColor="text1"/>
          <w14:textFill>
            <w14:solidFill>
              <w14:schemeClr w14:val="tx1"/>
            </w14:solidFill>
          </w14:textFill>
        </w:rPr>
        <w:t>，总库容104.4万m</w:t>
      </w:r>
      <w:r>
        <w:rPr>
          <w:rFonts w:hint="eastAsia" w:cs="Times New Roman"/>
          <w:color w:val="000000" w:themeColor="text1"/>
          <w:vertAlign w:val="superscript"/>
          <w14:textFill>
            <w14:solidFill>
              <w14:schemeClr w14:val="tx1"/>
            </w14:solidFill>
          </w14:textFill>
        </w:rPr>
        <w:t>3</w:t>
      </w:r>
      <w:r>
        <w:rPr>
          <w:rFonts w:hint="eastAsia" w:cs="Times New Roman"/>
          <w:color w:val="000000" w:themeColor="text1"/>
          <w14:textFill>
            <w14:solidFill>
              <w14:schemeClr w14:val="tx1"/>
            </w14:solidFill>
          </w14:textFill>
        </w:rPr>
        <w:t>，是一座以灌溉为主，兼有防洪、养殖等综合利用的小（1）型水利工程</w:t>
      </w:r>
      <w:r>
        <w:rPr>
          <w:rFonts w:hint="eastAsia"/>
        </w:rPr>
        <w:t>。</w:t>
      </w:r>
    </w:p>
    <w:p>
      <w:pPr>
        <w:bidi w:val="0"/>
      </w:pPr>
      <w:r>
        <w:rPr>
          <w:rFonts w:hint="eastAsia"/>
        </w:rPr>
        <w:t>5. 杨家坳水库</w:t>
      </w:r>
    </w:p>
    <w:p>
      <w:pPr>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杨家坳水库位于新晃</w:t>
      </w:r>
      <w:r>
        <w:rPr>
          <w:rFonts w:hint="eastAsia"/>
          <w:color w:val="000000" w:themeColor="text1"/>
          <w:lang w:eastAsia="zh-CN"/>
          <w14:textFill>
            <w14:solidFill>
              <w14:schemeClr w14:val="tx1"/>
            </w14:solidFill>
          </w14:textFill>
        </w:rPr>
        <w:t>侗族自治</w:t>
      </w:r>
      <w:r>
        <w:rPr>
          <w:rFonts w:hint="eastAsia"/>
          <w:color w:val="000000" w:themeColor="text1"/>
          <w14:textFill>
            <w14:solidFill>
              <w14:schemeClr w14:val="tx1"/>
            </w14:solidFill>
          </w14:textFill>
        </w:rPr>
        <w:t>县城北边</w:t>
      </w:r>
      <w:r>
        <w:rPr>
          <w:rFonts w:hint="eastAsia"/>
          <w:color w:val="000000" w:themeColor="text1"/>
          <w:lang w:val="en-US" w:eastAsia="zh-CN"/>
          <w14:textFill>
            <w14:solidFill>
              <w14:schemeClr w14:val="tx1"/>
            </w14:solidFill>
          </w14:textFill>
        </w:rPr>
        <w:t>晃州镇洞坡村</w:t>
      </w:r>
      <w:r>
        <w:rPr>
          <w:rFonts w:hint="eastAsia"/>
          <w:color w:val="000000" w:themeColor="text1"/>
          <w14:textFill>
            <w14:solidFill>
              <w14:schemeClr w14:val="tx1"/>
            </w14:solidFill>
          </w14:textFill>
        </w:rPr>
        <w:t>境内，其库尾与贵州万山特区田坪镇毗邻。水库所在地为</w:t>
      </w:r>
      <w:r>
        <w:rPr>
          <w:rFonts w:hint="eastAsia"/>
        </w:rPr>
        <w:t>㵲</w:t>
      </w:r>
      <w:r>
        <w:rPr>
          <w:rFonts w:hint="eastAsia"/>
          <w:color w:val="000000" w:themeColor="text1"/>
          <w14:textFill>
            <w14:solidFill>
              <w14:schemeClr w14:val="tx1"/>
            </w14:solidFill>
          </w14:textFill>
        </w:rPr>
        <w:t>水水系龙溪支流的上游，注册登记号：43122740005-A4</w:t>
      </w:r>
      <w:r>
        <w:rPr>
          <w:rFonts w:hint="eastAsia"/>
          <w:color w:val="000000" w:themeColor="text1"/>
          <w:lang w:eastAsia="zh-CN"/>
          <w14:textFill>
            <w14:solidFill>
              <w14:schemeClr w14:val="tx1"/>
            </w14:solidFill>
          </w14:textFill>
        </w:rPr>
        <w:t>。</w:t>
      </w:r>
    </w:p>
    <w:p>
      <w:pPr>
        <w:rPr>
          <w:rFonts w:hint="eastAsia"/>
        </w:rPr>
      </w:pPr>
      <w:r>
        <w:rPr>
          <w:rFonts w:hint="eastAsia"/>
          <w:color w:val="000000" w:themeColor="text1"/>
          <w:lang w:eastAsia="zh-CN"/>
          <w14:textFill>
            <w14:solidFill>
              <w14:schemeClr w14:val="tx1"/>
            </w14:solidFill>
          </w14:textFill>
        </w:rPr>
        <w:t>杨家坳水库</w:t>
      </w:r>
      <w:r>
        <w:rPr>
          <w:rFonts w:hint="eastAsia"/>
          <w:color w:val="000000" w:themeColor="text1"/>
          <w14:textFill>
            <w14:solidFill>
              <w14:schemeClr w14:val="tx1"/>
            </w14:solidFill>
          </w14:textFill>
        </w:rPr>
        <w:t>控制集雨面积4.16km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，总库容127.5万m</w:t>
      </w:r>
      <w:r>
        <w:rPr>
          <w:rFonts w:hint="eastAsia"/>
          <w:color w:val="000000" w:themeColor="text1"/>
          <w:vertAlign w:val="superscript"/>
          <w14:textFill>
            <w14:solidFill>
              <w14:schemeClr w14:val="tx1"/>
            </w14:solidFill>
          </w14:textFill>
        </w:rPr>
        <w:t>3</w:t>
      </w:r>
      <w:r>
        <w:rPr>
          <w:rFonts w:hint="eastAsia"/>
          <w:color w:val="000000" w:themeColor="text1"/>
          <w:vertAlign w:val="baseline"/>
          <w:lang w:eastAsia="zh-CN"/>
          <w14:textFill>
            <w14:solidFill>
              <w14:schemeClr w14:val="tx1"/>
            </w14:solidFill>
          </w14:textFill>
        </w:rPr>
        <w:t>，</w:t>
      </w:r>
      <w:r>
        <w:rPr>
          <w:rFonts w:hint="eastAsia"/>
          <w:color w:val="000000" w:themeColor="text1"/>
          <w14:textFill>
            <w14:solidFill>
              <w14:schemeClr w14:val="tx1"/>
            </w14:solidFill>
          </w14:textFill>
        </w:rPr>
        <w:t>是一座以灌溉为主，兼有防洪、养殖等综合效益的小（1）型水利工程</w:t>
      </w:r>
      <w:r>
        <w:rPr>
          <w:rFonts w:hint="eastAsia"/>
        </w:rPr>
        <w:t>。</w:t>
      </w:r>
    </w:p>
    <w:p>
      <w:pPr>
        <w:bidi w:val="0"/>
      </w:pPr>
      <w:r>
        <w:rPr>
          <w:rFonts w:hint="eastAsia"/>
        </w:rPr>
        <w:t>6. 刘坪水库</w:t>
      </w:r>
    </w:p>
    <w:p>
      <w:pPr>
        <w:rPr>
          <w:rFonts w:hint="eastAsia"/>
          <w:lang w:eastAsia="zh-CN"/>
        </w:rPr>
      </w:pPr>
      <w:r>
        <w:rPr>
          <w:rFonts w:hint="eastAsia"/>
        </w:rPr>
        <w:t>刘坪水库位于新晃</w:t>
      </w:r>
      <w:r>
        <w:rPr>
          <w:rFonts w:hint="eastAsia"/>
          <w:lang w:eastAsia="zh-CN"/>
        </w:rPr>
        <w:t>侗族自治</w:t>
      </w:r>
      <w:r>
        <w:rPr>
          <w:rFonts w:hint="eastAsia"/>
        </w:rPr>
        <w:t>县西南隅</w:t>
      </w:r>
      <w:r>
        <w:rPr>
          <w:rFonts w:hint="eastAsia"/>
          <w:lang w:val="en-US" w:eastAsia="zh-CN"/>
        </w:rPr>
        <w:t>凉伞镇凉伞村</w:t>
      </w:r>
      <w:r>
        <w:rPr>
          <w:rFonts w:hint="eastAsia"/>
        </w:rPr>
        <w:t>，所在河流为沅水支流野鸡河上游，注册登记号：43122740004-A4</w:t>
      </w:r>
      <w:r>
        <w:rPr>
          <w:rFonts w:hint="eastAsia"/>
          <w:lang w:eastAsia="zh-CN"/>
        </w:rPr>
        <w:t>。</w:t>
      </w:r>
    </w:p>
    <w:p>
      <w:pPr>
        <w:rPr>
          <w:rFonts w:hint="eastAsia"/>
        </w:rPr>
      </w:pPr>
      <w:r>
        <w:rPr>
          <w:rFonts w:hint="eastAsia"/>
          <w:lang w:eastAsia="zh-CN"/>
        </w:rPr>
        <w:t>刘坪水库</w:t>
      </w:r>
      <w:r>
        <w:rPr>
          <w:rFonts w:hint="eastAsia"/>
        </w:rPr>
        <w:t>控制集雨面积为2.15km</w:t>
      </w:r>
      <w:r>
        <w:rPr>
          <w:rFonts w:hint="eastAsia"/>
          <w:vertAlign w:val="superscript"/>
        </w:rPr>
        <w:t>2</w:t>
      </w:r>
      <w:r>
        <w:rPr>
          <w:rFonts w:hint="eastAsia"/>
        </w:rPr>
        <w:t>，总库容172万m</w:t>
      </w:r>
      <w:r>
        <w:rPr>
          <w:rFonts w:hint="eastAsia"/>
          <w:vertAlign w:val="superscript"/>
        </w:rPr>
        <w:t>3</w:t>
      </w:r>
      <w:r>
        <w:rPr>
          <w:rFonts w:hint="eastAsia"/>
        </w:rPr>
        <w:t>，是一座以灌溉为主，兼有防洪、养鱼等综合效益的小（1）型水利工程。</w:t>
      </w:r>
    </w:p>
    <w:p>
      <w:pPr>
        <w:bidi w:val="0"/>
      </w:pPr>
      <w:r>
        <w:rPr>
          <w:rFonts w:hint="eastAsia"/>
        </w:rPr>
        <w:t>7. 米贝水库</w:t>
      </w:r>
    </w:p>
    <w:p>
      <w:pPr>
        <w:rPr>
          <w:rFonts w:hint="eastAsia"/>
          <w:lang w:eastAsia="zh-CN"/>
        </w:rPr>
      </w:pPr>
      <w:r>
        <w:rPr>
          <w:rFonts w:hint="eastAsia"/>
        </w:rPr>
        <w:t>米贝水库位于新晃</w:t>
      </w:r>
      <w:r>
        <w:rPr>
          <w:rFonts w:hint="eastAsia"/>
          <w:lang w:eastAsia="zh-CN"/>
        </w:rPr>
        <w:t>侗族自治</w:t>
      </w:r>
      <w:r>
        <w:rPr>
          <w:rFonts w:hint="eastAsia"/>
        </w:rPr>
        <w:t>县米贝</w:t>
      </w:r>
      <w:r>
        <w:rPr>
          <w:rFonts w:hint="eastAsia"/>
          <w:lang w:eastAsia="zh-CN"/>
        </w:rPr>
        <w:t>苗族</w:t>
      </w:r>
      <w:r>
        <w:rPr>
          <w:rFonts w:hint="eastAsia"/>
        </w:rPr>
        <w:t>乡米贝村，所在河流为沅水支流碧涌溪上，注册登记号：43122740008-A4</w:t>
      </w:r>
      <w:r>
        <w:rPr>
          <w:rFonts w:hint="eastAsia"/>
          <w:lang w:eastAsia="zh-CN"/>
        </w:rPr>
        <w:t>。</w:t>
      </w:r>
    </w:p>
    <w:p>
      <w:pPr>
        <w:rPr>
          <w:rFonts w:hint="eastAsia"/>
          <w:color w:val="000000" w:themeColor="text1"/>
          <w14:textFill>
            <w14:solidFill>
              <w14:schemeClr w14:val="tx1"/>
            </w14:solidFill>
          </w14:textFill>
        </w:rPr>
      </w:pPr>
      <w:r>
        <w:rPr>
          <w:rFonts w:hint="eastAsia"/>
          <w:lang w:eastAsia="zh-CN"/>
        </w:rPr>
        <w:t>米贝水库</w:t>
      </w:r>
      <w:r>
        <w:rPr>
          <w:rFonts w:hint="eastAsia"/>
        </w:rPr>
        <w:t>控制集雨面积为137km</w:t>
      </w:r>
      <w:r>
        <w:rPr>
          <w:rFonts w:hint="eastAsia"/>
          <w:vertAlign w:val="superscript"/>
        </w:rPr>
        <w:t>2</w:t>
      </w:r>
      <w:r>
        <w:rPr>
          <w:rFonts w:hint="eastAsia"/>
        </w:rPr>
        <w:t>，总库容311.70万m</w:t>
      </w:r>
      <w:r>
        <w:rPr>
          <w:rFonts w:hint="eastAsia"/>
          <w:vertAlign w:val="superscript"/>
        </w:rPr>
        <w:t>3</w:t>
      </w:r>
      <w:r>
        <w:rPr>
          <w:rFonts w:hint="eastAsia"/>
        </w:rPr>
        <w:t>，是一座以发电为主，兼有防洪、灌溉等综合效益的小（1）型水利工程</w:t>
      </w:r>
      <w:r>
        <w:rPr>
          <w:rFonts w:hint="eastAsia"/>
          <w:color w:val="000000" w:themeColor="text1"/>
          <w14:textFill>
            <w14:solidFill>
              <w14:schemeClr w14:val="tx1"/>
            </w14:solidFill>
          </w14:textFill>
        </w:rPr>
        <w:t>。</w:t>
      </w:r>
    </w:p>
    <w:p>
      <w:pPr>
        <w:pStyle w:val="4"/>
        <w:spacing w:before="0" w:beforeLines="-2147483648" w:beforeAutospacing="0" w:after="0" w:afterLines="-2147483648" w:afterAutospacing="0" w:line="680" w:lineRule="exact"/>
        <w:ind w:firstLine="640"/>
        <w:outlineLvl w:val="1"/>
        <w:rPr>
          <w:rFonts w:hint="eastAsia"/>
          <w:b w:val="0"/>
          <w:bCs/>
          <w:szCs w:val="32"/>
        </w:rPr>
      </w:pPr>
      <w:bookmarkStart w:id="42" w:name="_Toc10235"/>
      <w:r>
        <w:rPr>
          <w:rFonts w:hint="eastAsia"/>
          <w:b w:val="0"/>
          <w:bCs/>
          <w:szCs w:val="32"/>
        </w:rPr>
        <w:t>2.1.2 水闸基本信息</w:t>
      </w:r>
      <w:bookmarkEnd w:id="42"/>
    </w:p>
    <w:p>
      <w:pPr>
        <w:ind w:firstLine="640"/>
        <w:rPr>
          <w:color w:val="000000"/>
        </w:rPr>
      </w:pPr>
      <w:r>
        <w:rPr>
          <w:rFonts w:hint="eastAsia"/>
          <w:color w:val="000000"/>
        </w:rPr>
        <w:t>1.狮子岩水闸</w:t>
      </w:r>
    </w:p>
    <w:p>
      <w:pPr>
        <w:rPr>
          <w:rFonts w:hint="eastAsia" w:ascii="Times New Roman" w:hAnsi="Times New Roman" w:eastAsia="仿宋_GB2312" w:cstheme="minorBidi"/>
          <w:color w:val="000000"/>
          <w:sz w:val="32"/>
        </w:rPr>
      </w:pPr>
      <w:r>
        <w:rPr>
          <w:rFonts w:hint="eastAsia" w:ascii="Times New Roman" w:hAnsi="Times New Roman" w:eastAsia="仿宋_GB2312" w:cstheme="minorBidi"/>
          <w:color w:val="000000"/>
          <w:sz w:val="32"/>
        </w:rPr>
        <w:t>狮子岩水闸枢纽工程闸址位于新晃</w:t>
      </w:r>
      <w:r>
        <w:rPr>
          <w:rFonts w:hint="eastAsia" w:ascii="Times New Roman" w:hAnsi="Times New Roman" w:eastAsia="仿宋_GB2312" w:cstheme="minorBidi"/>
          <w:color w:val="000000"/>
          <w:sz w:val="32"/>
          <w:lang w:eastAsia="zh-CN"/>
        </w:rPr>
        <w:t>侗族自治</w:t>
      </w:r>
      <w:r>
        <w:rPr>
          <w:rFonts w:hint="eastAsia" w:ascii="Times New Roman" w:hAnsi="Times New Roman" w:eastAsia="仿宋_GB2312" w:cstheme="minorBidi"/>
          <w:color w:val="000000"/>
          <w:sz w:val="32"/>
        </w:rPr>
        <w:t>县城上游西塘湾处，</w:t>
      </w:r>
      <w:r>
        <w:rPr>
          <w:rFonts w:hint="eastAsia" w:ascii="Times New Roman" w:hAnsi="Times New Roman" w:eastAsia="仿宋_GB2312" w:cstheme="minorBidi"/>
          <w:color w:val="000000"/>
          <w:sz w:val="32"/>
          <w:szCs w:val="22"/>
        </w:rPr>
        <w:t>狮子岩水闸闸址控制流域集雨面积6717km</w:t>
      </w:r>
      <w:r>
        <w:rPr>
          <w:rFonts w:hint="eastAsia" w:ascii="Times New Roman" w:hAnsi="Times New Roman" w:eastAsia="仿宋_GB2312" w:cstheme="minorBidi"/>
          <w:color w:val="000000"/>
          <w:sz w:val="32"/>
          <w:szCs w:val="22"/>
          <w:vertAlign w:val="superscript"/>
        </w:rPr>
        <w:t>2</w:t>
      </w:r>
      <w:r>
        <w:rPr>
          <w:rFonts w:hint="eastAsia" w:ascii="Times New Roman" w:hAnsi="Times New Roman" w:eastAsia="仿宋_GB2312" w:cstheme="minorBidi"/>
          <w:color w:val="000000"/>
          <w:sz w:val="32"/>
          <w:szCs w:val="22"/>
        </w:rPr>
        <w:t>，</w:t>
      </w:r>
      <w:r>
        <w:rPr>
          <w:rFonts w:hint="eastAsia" w:ascii="Times New Roman" w:hAnsi="Times New Roman" w:eastAsia="仿宋_GB2312" w:cstheme="minorBidi"/>
          <w:color w:val="000000"/>
          <w:sz w:val="32"/>
        </w:rPr>
        <w:t>是沅水一级支流㵲水上的一座以防洪、灌溉为主，兼有供水、发电等综合效益的大（1）型拦河水闸。</w:t>
      </w:r>
    </w:p>
    <w:p>
      <w:pPr>
        <w:pStyle w:val="2"/>
      </w:pPr>
      <w:bookmarkStart w:id="43" w:name="_Toc60738503"/>
      <w:bookmarkStart w:id="44" w:name="_Toc31788"/>
      <w:r>
        <w:rPr>
          <w:rFonts w:hint="eastAsia"/>
          <w:lang w:val="en-US" w:eastAsia="zh-CN"/>
        </w:rPr>
        <w:t>3</w:t>
      </w:r>
      <w:r>
        <w:t>管理与保护范围线标绘</w:t>
      </w:r>
      <w:bookmarkEnd w:id="43"/>
      <w:bookmarkEnd w:id="44"/>
    </w:p>
    <w:p>
      <w:pPr>
        <w:pStyle w:val="3"/>
        <w:bidi w:val="0"/>
        <w:spacing w:before="0" w:beforeLines="-2147483648" w:beforeAutospacing="0" w:after="0" w:afterLines="-2147483648" w:afterAutospacing="0" w:line="680" w:lineRule="exact"/>
        <w:rPr>
          <w:rFonts w:ascii="Times New Roman" w:hAnsi="Times New Roman" w:cstheme="majorBidi"/>
          <w:bCs/>
          <w:szCs w:val="32"/>
        </w:rPr>
      </w:pPr>
      <w:bookmarkStart w:id="45" w:name="_Toc6490"/>
      <w:bookmarkStart w:id="46" w:name="_Toc60738504"/>
      <w:r>
        <w:rPr>
          <w:rFonts w:hint="eastAsia" w:ascii="Times New Roman" w:hAnsi="Times New Roman" w:cstheme="majorBidi"/>
          <w:bCs/>
          <w:szCs w:val="32"/>
          <w:lang w:val="en-US" w:eastAsia="zh-CN"/>
        </w:rPr>
        <w:t>3</w:t>
      </w:r>
      <w:r>
        <w:rPr>
          <w:rFonts w:ascii="Times New Roman" w:hAnsi="Times New Roman" w:cstheme="majorBidi"/>
          <w:bCs/>
          <w:szCs w:val="32"/>
        </w:rPr>
        <w:t>.1 库区设计洪水位线分析计算</w:t>
      </w:r>
      <w:bookmarkEnd w:id="45"/>
      <w:bookmarkEnd w:id="46"/>
    </w:p>
    <w:p>
      <w:pPr>
        <w:pStyle w:val="4"/>
        <w:spacing w:before="0" w:beforeLines="-2147483648" w:beforeAutospacing="0" w:after="0" w:afterLines="-2147483648" w:afterAutospacing="0" w:line="680" w:lineRule="exact"/>
        <w:ind w:firstLine="640"/>
        <w:rPr>
          <w:rFonts w:hint="eastAsia"/>
          <w:b w:val="0"/>
          <w:bCs/>
          <w:szCs w:val="32"/>
        </w:rPr>
      </w:pPr>
      <w:bookmarkStart w:id="47" w:name="_Toc29182"/>
      <w:bookmarkStart w:id="48" w:name="_Toc60738505"/>
      <w:r>
        <w:rPr>
          <w:rFonts w:hint="eastAsia"/>
          <w:b w:val="0"/>
          <w:bCs/>
          <w:szCs w:val="32"/>
          <w:lang w:val="en-US" w:eastAsia="zh-CN"/>
        </w:rPr>
        <w:t>3</w:t>
      </w:r>
      <w:r>
        <w:rPr>
          <w:rFonts w:hint="eastAsia"/>
          <w:b w:val="0"/>
          <w:bCs/>
          <w:szCs w:val="32"/>
        </w:rPr>
        <w:t>.1.1 规程与依据</w:t>
      </w:r>
      <w:bookmarkEnd w:id="47"/>
      <w:bookmarkEnd w:id="48"/>
    </w:p>
    <w:p>
      <w:pPr>
        <w:ind w:firstLine="640"/>
      </w:pPr>
      <w:r>
        <w:rPr>
          <w:rFonts w:hint="eastAsia"/>
        </w:rPr>
        <w:t>（1）《湖南省实施&lt;中华人民共和国水法</w:t>
      </w:r>
      <w:r>
        <w:t>&gt;</w:t>
      </w:r>
      <w:r>
        <w:rPr>
          <w:rFonts w:hint="eastAsia"/>
        </w:rPr>
        <w:t>办法》（2</w:t>
      </w:r>
      <w:r>
        <w:t>012</w:t>
      </w:r>
      <w:r>
        <w:rPr>
          <w:rFonts w:hint="eastAsia"/>
        </w:rPr>
        <w:t>年修订）第三章第十六条对国家所有的水库工程管理与保护范围</w:t>
      </w:r>
      <w:r>
        <w:rPr>
          <w:rFonts w:hint="eastAsia"/>
          <w:lang w:eastAsia="zh-CN"/>
        </w:rPr>
        <w:t>划界</w:t>
      </w:r>
      <w:r>
        <w:rPr>
          <w:rFonts w:hint="eastAsia"/>
        </w:rPr>
        <w:t>进行了规定：“水库库区设计洪水位线以下（包括库内岛屿），大坝背水坡脚向外水平延伸</w:t>
      </w:r>
      <w:r>
        <w:t>30至200米，大坝两端山坡自开挖线起顺坡向外延伸50至100米（到达分水岭不足50米的至分水岭上），溢洪道两端自山坡开挖线起顺坡向外延伸10至20米为管理范围。库区管理范围边缘向外延伸20至100米为保护范围；大坝、溢洪道保护范围根据坝型、坝高及坝基情况</w:t>
      </w:r>
      <w:r>
        <w:rPr>
          <w:rFonts w:hint="eastAsia"/>
          <w:lang w:eastAsia="zh-CN"/>
        </w:rPr>
        <w:t>划界</w:t>
      </w:r>
      <w:r>
        <w:rPr>
          <w:rFonts w:hint="eastAsia"/>
        </w:rPr>
        <w:t>”。</w:t>
      </w:r>
    </w:p>
    <w:p>
      <w:pPr>
        <w:ind w:firstLine="640"/>
        <w:rPr>
          <w:rFonts w:hint="eastAsia"/>
        </w:rPr>
      </w:pPr>
      <w:r>
        <w:rPr>
          <w:rFonts w:hint="eastAsia"/>
        </w:rPr>
        <w:t>（2）《水库工程管理设计规范》（S</w:t>
      </w:r>
      <w:r>
        <w:t>L 106-2017</w:t>
      </w:r>
      <w:r>
        <w:rPr>
          <w:rFonts w:hint="eastAsia"/>
        </w:rPr>
        <w:t>）第3章工程管理与保护范围：“3</w:t>
      </w:r>
      <w:r>
        <w:t xml:space="preserve">.0.3 </w:t>
      </w:r>
      <w:r>
        <w:rPr>
          <w:rFonts w:hint="eastAsia"/>
        </w:rPr>
        <w:t>工程区管理范围应包括大坝、溢洪道、输水道等建（构）筑物周围的管理范围和水库土地征用线以内的库区”、“工程管理范围的</w:t>
      </w:r>
      <w:r>
        <w:rPr>
          <w:rFonts w:hint="eastAsia"/>
          <w:lang w:eastAsia="zh-CN"/>
        </w:rPr>
        <w:t>土地</w:t>
      </w:r>
      <w:r>
        <w:rPr>
          <w:rFonts w:hint="eastAsia"/>
        </w:rPr>
        <w:t>应与工程建设征地一并征用，并办理确权发证手续，工程验收后移交水库管理单位”。</w:t>
      </w:r>
    </w:p>
    <w:p>
      <w:pPr>
        <w:ind w:firstLine="640"/>
      </w:pPr>
      <w:r>
        <w:rPr>
          <w:rFonts w:hint="eastAsia"/>
        </w:rPr>
        <w:t>（3）《中</w:t>
      </w:r>
      <w:r>
        <w:rPr>
          <w:rFonts w:hint="eastAsia"/>
          <w:lang w:eastAsia="zh-CN"/>
        </w:rPr>
        <w:t>华</w:t>
      </w:r>
      <w:bookmarkStart w:id="78" w:name="_GoBack"/>
      <w:bookmarkEnd w:id="78"/>
      <w:r>
        <w:rPr>
          <w:rFonts w:hint="eastAsia"/>
        </w:rPr>
        <w:t>人民共和国水法》第四十三条：“国家对水工程实施保护。国家所有的水工程应当按照国务院的规定划定工程管理和保护范围。国务院水行政主管部门或者流域管理机构管理的水工程，由主管部门或者流域管理机构商有关省、自治区、直辖市人民政府划定工程管理和保护范围。前款规定以外的其他水工程，应当按照省、自治区、直辖市人民政府的规定，划定工程保护范围和保护职责。在水工程保护范围内，禁止从事影响水工程运行和危害水工程安全的爆破、打井、采石、取土等活动。”</w:t>
      </w:r>
    </w:p>
    <w:p>
      <w:pPr>
        <w:ind w:firstLine="640"/>
        <w:rPr>
          <w:rFonts w:hint="eastAsia"/>
        </w:rPr>
      </w:pPr>
      <w:r>
        <w:rPr>
          <w:rFonts w:hint="eastAsia"/>
        </w:rPr>
        <w:t>（4）《湖南省水利水电工程管理办法》第十一条：“在水利水电工程保护范围内进行建设，应符合水利水电工程安全的要求，设计方案经水利水电部门审核同意后，按基本建设程序报批。影响城市防洪安全或水陆交通安全的，要同时取得城建部门或交通部门同意。工程建设单位应按批准的设计施工，保证按时竣工。建设工程确需阻断或损坏排灌沟渠、涵闸、渡槽、管道、堤、坝、桥渠等水利水电工程的，建设单位必须事先报经水利水电工程的主管部门批准，凡对原有工程有不利影响的，建设单位应采取补救措施或者予以补偿。”</w:t>
      </w:r>
    </w:p>
    <w:p>
      <w:pPr>
        <w:pStyle w:val="4"/>
        <w:spacing w:before="0" w:beforeLines="-2147483648" w:beforeAutospacing="0" w:after="0" w:afterLines="-2147483648" w:afterAutospacing="0" w:line="680" w:lineRule="exact"/>
        <w:ind w:firstLine="640"/>
        <w:rPr>
          <w:rFonts w:hint="eastAsia"/>
          <w:b w:val="0"/>
          <w:bCs/>
          <w:szCs w:val="32"/>
          <w:lang w:val="en-US" w:eastAsia="zh-CN"/>
        </w:rPr>
      </w:pPr>
      <w:bookmarkStart w:id="49" w:name="_Toc60738506"/>
      <w:bookmarkStart w:id="50" w:name="_Toc7991"/>
      <w:r>
        <w:rPr>
          <w:rFonts w:hint="eastAsia"/>
          <w:b w:val="0"/>
          <w:bCs/>
          <w:szCs w:val="32"/>
          <w:lang w:val="en-US" w:eastAsia="zh-CN"/>
        </w:rPr>
        <w:t>3.1.2 水库的设计洪水位线</w:t>
      </w:r>
      <w:bookmarkEnd w:id="49"/>
      <w:bookmarkEnd w:id="50"/>
    </w:p>
    <w:p>
      <w:pPr>
        <w:ind w:firstLine="640"/>
      </w:pPr>
      <w:r>
        <w:rPr>
          <w:rFonts w:hint="eastAsia"/>
        </w:rPr>
        <w:t>水库库区设计洪水位线一般是指水库库区淹没对象设计洪水标准相对应的水位线。依据收集的水库注册登记资料，及实测坝顶、堰顶高程，确定各水库最终设计洪水位，各水库最终设计洪水位确定总体按照以下原则：</w:t>
      </w:r>
    </w:p>
    <w:p>
      <w:pPr>
        <w:ind w:firstLine="640"/>
      </w:pPr>
      <w:r>
        <w:rPr>
          <w:rFonts w:hint="eastAsia"/>
        </w:rPr>
        <w:t>（1）大中型水库管理与保护范围按</w:t>
      </w:r>
      <w:r>
        <w:rPr>
          <w:rFonts w:hint="eastAsia"/>
          <w:lang w:eastAsia="zh-CN"/>
        </w:rPr>
        <w:t>湖南省水文水资源勘测中心</w:t>
      </w:r>
      <w:r>
        <w:rPr>
          <w:rFonts w:hint="eastAsia"/>
        </w:rPr>
        <w:t>提供的库区设计洪水位成果</w:t>
      </w:r>
      <w:r>
        <w:rPr>
          <w:rFonts w:hint="eastAsia"/>
          <w:lang w:eastAsia="zh-CN"/>
        </w:rPr>
        <w:t>划界</w:t>
      </w:r>
      <w:r>
        <w:rPr>
          <w:rFonts w:hint="eastAsia"/>
        </w:rPr>
        <w:t>；</w:t>
      </w:r>
    </w:p>
    <w:p>
      <w:pPr>
        <w:ind w:firstLine="640"/>
      </w:pPr>
      <w:r>
        <w:rPr>
          <w:rFonts w:hint="eastAsia"/>
        </w:rPr>
        <w:t>根据</w:t>
      </w:r>
      <w:r>
        <w:rPr>
          <w:rFonts w:hint="eastAsia"/>
          <w:lang w:eastAsia="zh-CN"/>
        </w:rPr>
        <w:t>湖南省水文水资源勘测中心</w:t>
      </w:r>
      <w:r>
        <w:rPr>
          <w:rFonts w:hint="eastAsia"/>
        </w:rPr>
        <w:t>提供的大中型水库库区设计洪水位成果，新晃侗族自治县中型水库朝阳水库的库区设计洪水位为521.15米（1985国家高程基准）。</w:t>
      </w:r>
    </w:p>
    <w:p>
      <w:pPr>
        <w:ind w:firstLine="640"/>
        <w:rPr>
          <w:highlight w:val="yellow"/>
        </w:rPr>
      </w:pPr>
      <w:r>
        <w:rPr>
          <w:rFonts w:hint="eastAsia"/>
        </w:rPr>
        <w:t>（2）</w:t>
      </w:r>
      <w:r>
        <w:rPr>
          <w:rFonts w:cs="Times New Roman"/>
          <w:color w:val="000000" w:themeColor="text1"/>
          <w14:textFill>
            <w14:solidFill>
              <w14:schemeClr w14:val="tx1"/>
            </w14:solidFill>
          </w14:textFill>
        </w:rPr>
        <w:t>按</w:t>
      </w:r>
      <w:r>
        <w:rPr>
          <w:rFonts w:hint="eastAsia" w:cs="Times New Roman"/>
          <w:color w:val="000000" w:themeColor="text1"/>
          <w:lang w:eastAsia="zh-CN"/>
          <w14:textFill>
            <w14:solidFill>
              <w14:schemeClr w14:val="tx1"/>
            </w14:solidFill>
          </w14:textFill>
        </w:rPr>
        <w:t>省水利厅（</w:t>
      </w:r>
      <w:r>
        <w:rPr>
          <w:rFonts w:hint="eastAsia" w:cs="Times New Roman"/>
          <w:color w:val="000000" w:themeColor="text1"/>
          <w:lang w:val="en-US" w:eastAsia="zh-CN"/>
          <w14:textFill>
            <w14:solidFill>
              <w14:schemeClr w14:val="tx1"/>
            </w14:solidFill>
          </w14:textFill>
        </w:rPr>
        <w:t>LXD-2020-027</w:t>
      </w:r>
      <w:r>
        <w:rPr>
          <w:rFonts w:hint="eastAsia" w:cs="Times New Roman"/>
          <w:color w:val="000000" w:themeColor="text1"/>
          <w:lang w:eastAsia="zh-CN"/>
          <w14:textFill>
            <w14:solidFill>
              <w14:schemeClr w14:val="tx1"/>
            </w14:solidFill>
          </w14:textFill>
        </w:rPr>
        <w:t>）号工作联系单要求，</w:t>
      </w:r>
      <w:r>
        <w:rPr>
          <w:rFonts w:hint="eastAsia"/>
        </w:rPr>
        <w:t>小（1）型水库取正常蓄水位+1米作为库区设计洪水位。</w:t>
      </w:r>
    </w:p>
    <w:p>
      <w:pPr>
        <w:pStyle w:val="3"/>
        <w:bidi w:val="0"/>
        <w:spacing w:before="0" w:beforeLines="-2147483648" w:beforeAutospacing="0" w:after="0" w:afterLines="-2147483648" w:afterAutospacing="0" w:line="680" w:lineRule="exact"/>
        <w:rPr>
          <w:rFonts w:hint="eastAsia" w:ascii="Times New Roman" w:hAnsi="Times New Roman" w:cstheme="majorBidi"/>
          <w:bCs/>
          <w:szCs w:val="32"/>
          <w:lang w:val="en-US" w:eastAsia="zh-CN"/>
        </w:rPr>
      </w:pPr>
      <w:bookmarkStart w:id="51" w:name="_Toc23308"/>
      <w:bookmarkStart w:id="52" w:name="_Toc60738508"/>
      <w:r>
        <w:rPr>
          <w:rFonts w:hint="eastAsia" w:ascii="Times New Roman" w:hAnsi="Times New Roman" w:cstheme="majorBidi"/>
          <w:bCs/>
          <w:szCs w:val="32"/>
          <w:lang w:val="en-US" w:eastAsia="zh-CN"/>
        </w:rPr>
        <w:t>3.2 管理与保护范围线标绘</w:t>
      </w:r>
      <w:bookmarkEnd w:id="51"/>
      <w:bookmarkEnd w:id="52"/>
    </w:p>
    <w:p>
      <w:pPr>
        <w:ind w:firstLine="640"/>
      </w:pPr>
      <w:r>
        <w:rPr>
          <w:rFonts w:hint="eastAsia"/>
        </w:rPr>
        <w:t>依据《湖南省水利工程管理与保护范围划</w:t>
      </w:r>
      <w:r>
        <w:rPr>
          <w:rFonts w:hint="eastAsia"/>
          <w:lang w:eastAsia="zh-CN"/>
        </w:rPr>
        <w:t>界</w:t>
      </w:r>
      <w:r>
        <w:rPr>
          <w:rFonts w:hint="eastAsia"/>
        </w:rPr>
        <w:t>技术指南（试行）》规定的划界标准，在绘制好的管理范围线上布设电子桩、电子告示牌，完成水利工程管理范围的图上标绘。</w:t>
      </w:r>
    </w:p>
    <w:p>
      <w:pPr>
        <w:pStyle w:val="4"/>
        <w:spacing w:before="0" w:beforeLines="-2147483648" w:beforeAutospacing="0" w:after="0" w:afterLines="-2147483648" w:afterAutospacing="0" w:line="680" w:lineRule="exact"/>
        <w:ind w:firstLine="640"/>
        <w:rPr>
          <w:rFonts w:hint="eastAsia"/>
          <w:b w:val="0"/>
          <w:bCs/>
          <w:szCs w:val="32"/>
          <w:lang w:val="en-US" w:eastAsia="zh-CN"/>
        </w:rPr>
      </w:pPr>
      <w:bookmarkStart w:id="53" w:name="_Toc60738509"/>
      <w:bookmarkStart w:id="54" w:name="_Toc25151"/>
      <w:r>
        <w:rPr>
          <w:rFonts w:hint="eastAsia"/>
          <w:b w:val="0"/>
          <w:bCs/>
          <w:szCs w:val="32"/>
          <w:lang w:val="en-US" w:eastAsia="zh-CN"/>
        </w:rPr>
        <w:t>3.2.1 水库</w:t>
      </w:r>
      <w:bookmarkEnd w:id="53"/>
      <w:bookmarkEnd w:id="54"/>
    </w:p>
    <w:p>
      <w:pPr>
        <w:ind w:firstLine="640"/>
      </w:pPr>
      <w:r>
        <w:rPr>
          <w:rFonts w:hint="eastAsia"/>
        </w:rPr>
        <w:t>《湖南省水利工程管理与保护范围划</w:t>
      </w:r>
      <w:r>
        <w:rPr>
          <w:rFonts w:hint="eastAsia"/>
          <w:lang w:eastAsia="zh-CN"/>
        </w:rPr>
        <w:t>界</w:t>
      </w:r>
      <w:r>
        <w:rPr>
          <w:rFonts w:hint="eastAsia"/>
        </w:rPr>
        <w:t>技术指南（试行）》对水库管理范围的</w:t>
      </w:r>
      <w:r>
        <w:rPr>
          <w:rFonts w:hint="eastAsia"/>
          <w:lang w:eastAsia="zh-CN"/>
        </w:rPr>
        <w:t>划界</w:t>
      </w:r>
      <w:r>
        <w:rPr>
          <w:rFonts w:hint="eastAsia"/>
        </w:rPr>
        <w:t>做出了如下规定：</w:t>
      </w:r>
    </w:p>
    <w:p>
      <w:pPr>
        <w:ind w:firstLine="64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t>水库管理范围分为工程区管理范围和运行区管理范围。其中工程区管理范围是指库区、大坝（含副坝）、溢洪道（含非常溢洪道），以及输水建筑物等的管理范围，运行区管理范围是指办公室、会议室、资料档案室、仓库、防汛调度室、值班室、车库、食堂、值班宿舍及其他附属设施等建（构）筑物的管理范围。</w:t>
      </w:r>
    </w:p>
    <w:p>
      <w:pPr>
        <w:ind w:firstLine="64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t>水库库区设计洪水位线以下（包括库内岛屿），大坝背水坡脚向外水平延伸30～200m，大坝两端山坡自开挖线起顺坡向外延伸50～100m（到达分水岭不足50m的至分水岭上），溢洪道两端自山坡开挖线（也称工程两侧轮廓线）起顺坡向外延伸10～20m、末端至消力池以下100～300m，输水隧洞进出口建筑物和竖井外缘线以外10～30m为工程区管理范围。</w:t>
      </w:r>
    </w:p>
    <w:p>
      <w:pPr>
        <w:ind w:firstLine="640"/>
      </w:pPr>
    </w:p>
    <w:p>
      <w:pPr>
        <w:ind w:firstLine="640"/>
      </w:pPr>
      <w:r>
        <w:t>根据水库管理的实际需要，不同规模水库的工程区管理范围可参照表</w:t>
      </w:r>
      <w:r>
        <w:rPr>
          <w:rFonts w:hint="eastAsia"/>
          <w:lang w:val="en-US" w:eastAsia="zh-CN"/>
        </w:rPr>
        <w:t>3</w:t>
      </w:r>
      <w:r>
        <w:t>-</w:t>
      </w:r>
      <w:r>
        <w:rPr>
          <w:rFonts w:hint="eastAsia"/>
          <w:lang w:val="en-US" w:eastAsia="zh-CN"/>
        </w:rPr>
        <w:t>1</w:t>
      </w:r>
      <w:r>
        <w:t>控制。</w:t>
      </w:r>
    </w:p>
    <w:p>
      <w:pPr>
        <w:pStyle w:val="14"/>
        <w:ind w:firstLine="422"/>
      </w:pPr>
      <w:r>
        <w:t>表</w:t>
      </w:r>
      <w:r>
        <w:rPr>
          <w:rFonts w:hint="eastAsia"/>
          <w:lang w:val="en-US" w:eastAsia="zh-CN"/>
        </w:rPr>
        <w:t>3</w:t>
      </w:r>
      <w:r>
        <w:t>-</w:t>
      </w:r>
      <w:r>
        <w:rPr>
          <w:rFonts w:hint="eastAsia"/>
          <w:lang w:val="en-US" w:eastAsia="zh-CN"/>
        </w:rPr>
        <w:t>1</w:t>
      </w:r>
      <w:r>
        <w:t>水库工程区管理范围</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453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24" w:type="dxa"/>
            <w:vAlign w:val="center"/>
          </w:tcPr>
          <w:p>
            <w:pPr>
              <w:pStyle w:val="15"/>
              <w:rPr>
                <w:rFonts w:ascii="Calibri" w:hAnsi="Calibri"/>
                <w:b/>
              </w:rPr>
            </w:pPr>
            <w:r>
              <w:rPr>
                <w:rFonts w:ascii="Calibri" w:hAnsi="Calibri"/>
                <w:b/>
              </w:rPr>
              <w:t>工程区域</w:t>
            </w:r>
          </w:p>
        </w:tc>
        <w:tc>
          <w:tcPr>
            <w:tcW w:w="4535" w:type="dxa"/>
            <w:vAlign w:val="center"/>
          </w:tcPr>
          <w:p>
            <w:pPr>
              <w:pStyle w:val="15"/>
              <w:rPr>
                <w:rFonts w:ascii="Calibri" w:hAnsi="Calibri"/>
                <w:b/>
              </w:rPr>
            </w:pPr>
            <w:r>
              <w:rPr>
                <w:rFonts w:ascii="Calibri" w:hAnsi="Calibri"/>
                <w:b/>
              </w:rPr>
              <w:t>下游</w:t>
            </w:r>
          </w:p>
        </w:tc>
        <w:tc>
          <w:tcPr>
            <w:tcW w:w="2163" w:type="dxa"/>
            <w:vAlign w:val="center"/>
          </w:tcPr>
          <w:p>
            <w:pPr>
              <w:pStyle w:val="15"/>
              <w:rPr>
                <w:rFonts w:ascii="Calibri" w:hAnsi="Calibri"/>
                <w:b/>
              </w:rPr>
            </w:pPr>
            <w:r>
              <w:rPr>
                <w:rFonts w:ascii="Calibri" w:hAnsi="Calibri"/>
                <w:b/>
              </w:rPr>
              <w:t>左右岸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24" w:type="dxa"/>
            <w:vAlign w:val="center"/>
          </w:tcPr>
          <w:p>
            <w:pPr>
              <w:pStyle w:val="15"/>
              <w:rPr>
                <w:rFonts w:ascii="Calibri" w:hAnsi="Calibri"/>
              </w:rPr>
            </w:pPr>
            <w:r>
              <w:rPr>
                <w:rFonts w:ascii="Calibri" w:hAnsi="Calibri"/>
              </w:rPr>
              <w:t>大型水库大坝</w:t>
            </w:r>
          </w:p>
        </w:tc>
        <w:tc>
          <w:tcPr>
            <w:tcW w:w="4535" w:type="dxa"/>
            <w:vAlign w:val="center"/>
          </w:tcPr>
          <w:p>
            <w:pPr>
              <w:pStyle w:val="15"/>
              <w:rPr>
                <w:rFonts w:ascii="Calibri" w:hAnsi="Calibri"/>
              </w:rPr>
            </w:pPr>
            <w:r>
              <w:rPr>
                <w:rFonts w:ascii="Calibri" w:hAnsi="Calibri"/>
              </w:rPr>
              <w:t>从坝脚线向下游100～200m</w:t>
            </w:r>
          </w:p>
        </w:tc>
        <w:tc>
          <w:tcPr>
            <w:tcW w:w="2163" w:type="dxa"/>
            <w:vMerge w:val="restart"/>
            <w:vAlign w:val="center"/>
          </w:tcPr>
          <w:p>
            <w:pPr>
              <w:pStyle w:val="15"/>
              <w:rPr>
                <w:rFonts w:ascii="Calibri" w:hAnsi="Calibri"/>
              </w:rPr>
            </w:pPr>
            <w:r>
              <w:rPr>
                <w:rFonts w:ascii="Calibri" w:hAnsi="Calibri"/>
              </w:rPr>
              <w:t>从坝端开挖线外延</w:t>
            </w:r>
          </w:p>
          <w:p>
            <w:pPr>
              <w:pStyle w:val="15"/>
              <w:rPr>
                <w:rFonts w:ascii="Calibri" w:hAnsi="Calibri"/>
              </w:rPr>
            </w:pPr>
            <w:r>
              <w:rPr>
                <w:rFonts w:ascii="Calibri" w:hAnsi="Calibri"/>
              </w:rPr>
              <w:t>50～100m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24" w:type="dxa"/>
            <w:vAlign w:val="center"/>
          </w:tcPr>
          <w:p>
            <w:pPr>
              <w:pStyle w:val="15"/>
              <w:rPr>
                <w:rFonts w:ascii="Calibri" w:hAnsi="Calibri"/>
              </w:rPr>
            </w:pPr>
            <w:r>
              <w:rPr>
                <w:rFonts w:ascii="Calibri" w:hAnsi="Calibri"/>
              </w:rPr>
              <w:t>中型水库大坝</w:t>
            </w:r>
          </w:p>
        </w:tc>
        <w:tc>
          <w:tcPr>
            <w:tcW w:w="4535" w:type="dxa"/>
            <w:vAlign w:val="center"/>
          </w:tcPr>
          <w:p>
            <w:pPr>
              <w:pStyle w:val="15"/>
              <w:rPr>
                <w:rFonts w:ascii="Calibri" w:hAnsi="Calibri"/>
              </w:rPr>
            </w:pPr>
            <w:r>
              <w:rPr>
                <w:rFonts w:ascii="Calibri" w:hAnsi="Calibri"/>
              </w:rPr>
              <w:t>从坝脚线向下游50～100m</w:t>
            </w:r>
          </w:p>
        </w:tc>
        <w:tc>
          <w:tcPr>
            <w:tcW w:w="2163" w:type="dxa"/>
            <w:vMerge w:val="continue"/>
            <w:vAlign w:val="center"/>
          </w:tcPr>
          <w:p>
            <w:pPr>
              <w:pStyle w:val="15"/>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24" w:type="dxa"/>
            <w:vAlign w:val="center"/>
          </w:tcPr>
          <w:p>
            <w:pPr>
              <w:pStyle w:val="15"/>
              <w:rPr>
                <w:rFonts w:ascii="Calibri" w:hAnsi="Calibri"/>
              </w:rPr>
            </w:pPr>
            <w:r>
              <w:rPr>
                <w:rFonts w:ascii="Calibri" w:hAnsi="Calibri"/>
              </w:rPr>
              <w:t>小型水库大坝</w:t>
            </w:r>
          </w:p>
        </w:tc>
        <w:tc>
          <w:tcPr>
            <w:tcW w:w="4535" w:type="dxa"/>
            <w:vAlign w:val="center"/>
          </w:tcPr>
          <w:p>
            <w:pPr>
              <w:pStyle w:val="15"/>
              <w:rPr>
                <w:rFonts w:ascii="Calibri" w:hAnsi="Calibri"/>
              </w:rPr>
            </w:pPr>
            <w:r>
              <w:rPr>
                <w:rFonts w:ascii="Calibri" w:hAnsi="Calibri"/>
              </w:rPr>
              <w:t>从坝脚线向下游30～50m</w:t>
            </w:r>
          </w:p>
        </w:tc>
        <w:tc>
          <w:tcPr>
            <w:tcW w:w="2163" w:type="dxa"/>
            <w:vMerge w:val="continue"/>
            <w:vAlign w:val="center"/>
          </w:tcPr>
          <w:p>
            <w:pPr>
              <w:pStyle w:val="15"/>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24" w:type="dxa"/>
            <w:vAlign w:val="center"/>
          </w:tcPr>
          <w:p>
            <w:pPr>
              <w:pStyle w:val="15"/>
              <w:rPr>
                <w:rFonts w:ascii="Calibri" w:hAnsi="Calibri"/>
              </w:rPr>
            </w:pPr>
            <w:r>
              <w:rPr>
                <w:rFonts w:ascii="Calibri" w:hAnsi="Calibri"/>
              </w:rPr>
              <w:t>其他建筑物</w:t>
            </w:r>
          </w:p>
        </w:tc>
        <w:tc>
          <w:tcPr>
            <w:tcW w:w="6698" w:type="dxa"/>
            <w:gridSpan w:val="2"/>
            <w:vAlign w:val="center"/>
          </w:tcPr>
          <w:p>
            <w:pPr>
              <w:pStyle w:val="15"/>
              <w:rPr>
                <w:rFonts w:ascii="Calibri" w:hAnsi="Calibri"/>
              </w:rPr>
            </w:pPr>
            <w:r>
              <w:rPr>
                <w:rFonts w:ascii="Calibri" w:hAnsi="Calibri"/>
              </w:rPr>
              <w:t>由工程外轮廓线向外：大中型30～50m、小型10～30m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jc w:val="center"/>
        </w:trPr>
        <w:tc>
          <w:tcPr>
            <w:tcW w:w="8522" w:type="dxa"/>
            <w:gridSpan w:val="3"/>
            <w:vAlign w:val="center"/>
          </w:tcPr>
          <w:p>
            <w:pPr>
              <w:pStyle w:val="15"/>
              <w:jc w:val="left"/>
              <w:rPr>
                <w:rFonts w:ascii="Calibri" w:hAnsi="Calibri"/>
              </w:rPr>
            </w:pPr>
            <w:r>
              <w:rPr>
                <w:rFonts w:ascii="Calibri" w:hAnsi="Calibri"/>
              </w:rPr>
              <w:t>注1：大坝下游和左右岸管理范围端线应与库区管理范围线相衔接。</w:t>
            </w:r>
          </w:p>
          <w:p>
            <w:pPr>
              <w:pStyle w:val="15"/>
              <w:jc w:val="left"/>
              <w:rPr>
                <w:rFonts w:ascii="Calibri" w:hAnsi="Calibri"/>
                <w:strike/>
              </w:rPr>
            </w:pPr>
            <w:r>
              <w:rPr>
                <w:rFonts w:ascii="Calibri" w:hAnsi="Calibri"/>
              </w:rPr>
              <w:t>注2：输水隧洞岩层（土层）厚度、岩性和生产活动对工程安全无影响时，可不划定其上部地面管理范围。</w:t>
            </w:r>
          </w:p>
        </w:tc>
      </w:tr>
    </w:tbl>
    <w:p>
      <w:pPr>
        <w:ind w:firstLine="64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t>水库库区设计洪水位线一般是指水库库区淹没对象设计洪水标准相对应的水位线。对于四水干流及主要支流上的电站水库，若库区设计洪水位与正常蓄水位之间有较多村庄、城镇或居民点的，可按以下原则处理：</w:t>
      </w:r>
    </w:p>
    <w:p>
      <w:pPr>
        <w:ind w:firstLine="640"/>
      </w:pPr>
      <w:r>
        <w:rPr>
          <w:rFonts w:hint="eastAsia"/>
        </w:rPr>
        <w:t>a</w:t>
      </w:r>
      <w:r>
        <w:t>.有批复的淹没对象设计洪水回水位成果，本阶段宜先按设计洪水回水位成果初步划定管理范围。</w:t>
      </w:r>
    </w:p>
    <w:p>
      <w:pPr>
        <w:ind w:firstLine="640"/>
      </w:pPr>
      <w:r>
        <w:t>b.没有批复的淹没对象设计洪水回水位成果，应经论证确定。</w:t>
      </w:r>
    </w:p>
    <w:p>
      <w:pPr>
        <w:ind w:firstLine="640"/>
      </w:pPr>
      <w:r>
        <w:t>c.条件成熟时，宜逐步达到《湖南省实施＜中华人民共和国水法＞办法》的划界标准。</w:t>
      </w:r>
    </w:p>
    <w:p>
      <w:pPr>
        <w:ind w:firstLine="640"/>
      </w:pP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t>有人口迁移线的按照人口迁移线划定管理范围。</w:t>
      </w:r>
    </w:p>
    <w:p>
      <w:pPr>
        <w:ind w:firstLine="640"/>
      </w:pPr>
      <w:r>
        <w:fldChar w:fldCharType="begin"/>
      </w:r>
      <w:r>
        <w:instrText xml:space="preserve"> </w:instrText>
      </w:r>
      <w:r>
        <w:rPr>
          <w:rFonts w:hint="eastAsia"/>
        </w:rPr>
        <w:instrText xml:space="preserve">= 5 \* GB3</w:instrText>
      </w:r>
      <w:r>
        <w:instrText xml:space="preserve"> </w:instrText>
      </w:r>
      <w:r>
        <w:fldChar w:fldCharType="separate"/>
      </w:r>
      <w:r>
        <w:rPr>
          <w:rFonts w:hint="eastAsia"/>
        </w:rPr>
        <w:t>⑤</w:t>
      </w:r>
      <w:r>
        <w:fldChar w:fldCharType="end"/>
      </w:r>
      <w:r>
        <w:t>运行区按其征地范围线或围墙外边线划定管理范围。</w:t>
      </w:r>
    </w:p>
    <w:p>
      <w:pPr>
        <w:ind w:firstLine="640"/>
      </w:pPr>
      <w:r>
        <w:rPr>
          <w:rFonts w:hint="eastAsia"/>
        </w:rPr>
        <w:t>（</w:t>
      </w:r>
      <w:r>
        <w:t>2）</w:t>
      </w:r>
      <w:r>
        <w:rPr>
          <w:rFonts w:hint="eastAsia"/>
        </w:rPr>
        <w:t>保护</w:t>
      </w:r>
      <w:r>
        <w:t>范围线</w:t>
      </w:r>
    </w:p>
    <w:p>
      <w:pPr>
        <w:ind w:firstLine="640"/>
        <w:rPr>
          <w:color w:val="000000" w:themeColor="text1"/>
          <w14:textFill>
            <w14:solidFill>
              <w14:schemeClr w14:val="tx1"/>
            </w14:solidFill>
          </w14:textFill>
        </w:rPr>
      </w:pPr>
      <w:r>
        <w:rPr>
          <w:rFonts w:hint="eastAsia"/>
        </w:rPr>
        <w:t>根据技术指南规定，结合新晃侗族自治县实际，</w:t>
      </w:r>
      <w:r>
        <w:rPr>
          <w:color w:val="000000" w:themeColor="text1"/>
          <w14:textFill>
            <w14:solidFill>
              <w14:schemeClr w14:val="tx1"/>
            </w14:solidFill>
          </w14:textFill>
        </w:rPr>
        <w:t>库区管理范围边界线向外延伸20～100m为保护范围，大坝、溢洪道保护范围根据坝型、坝高及坝基情况</w:t>
      </w:r>
      <w:r>
        <w:rPr>
          <w:rFonts w:hint="eastAsia"/>
          <w:color w:val="000000" w:themeColor="text1"/>
          <w:lang w:eastAsia="zh-CN"/>
          <w14:textFill>
            <w14:solidFill>
              <w14:schemeClr w14:val="tx1"/>
            </w14:solidFill>
          </w14:textFill>
        </w:rPr>
        <w:t>划界</w:t>
      </w:r>
      <w:r>
        <w:rPr>
          <w:color w:val="000000" w:themeColor="text1"/>
          <w14:textFill>
            <w14:solidFill>
              <w14:schemeClr w14:val="tx1"/>
            </w14:solidFill>
          </w14:textFill>
        </w:rPr>
        <w:t>，可依照表</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控制。</w:t>
      </w:r>
    </w:p>
    <w:p>
      <w:pPr>
        <w:pStyle w:val="14"/>
        <w:ind w:firstLine="422"/>
      </w:pPr>
      <w:r>
        <w:t>表</w:t>
      </w:r>
      <w:r>
        <w:rPr>
          <w:rFonts w:hint="eastAsia"/>
          <w:lang w:val="en-US" w:eastAsia="zh-CN"/>
        </w:rPr>
        <w:t>3</w:t>
      </w:r>
      <w:r>
        <w:rPr>
          <w:rFonts w:hint="eastAsia"/>
        </w:rPr>
        <w:t>-</w:t>
      </w:r>
      <w:r>
        <w:rPr>
          <w:rFonts w:hint="eastAsia"/>
          <w:lang w:val="en-US" w:eastAsia="zh-CN"/>
        </w:rPr>
        <w:t>2</w:t>
      </w:r>
      <w:r>
        <w:rPr>
          <w:rFonts w:hint="eastAsia"/>
        </w:rPr>
        <w:t xml:space="preserve"> </w:t>
      </w:r>
      <w:r>
        <w:t>水库工程区保护范围</w:t>
      </w:r>
    </w:p>
    <w:tbl>
      <w:tblPr>
        <w:tblStyle w:val="11"/>
        <w:tblW w:w="8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382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002" w:type="dxa"/>
            <w:vAlign w:val="center"/>
          </w:tcPr>
          <w:p>
            <w:pPr>
              <w:pStyle w:val="14"/>
              <w:ind w:firstLine="422"/>
              <w:jc w:val="both"/>
            </w:pPr>
            <w:r>
              <w:t>工程区域</w:t>
            </w:r>
          </w:p>
        </w:tc>
        <w:tc>
          <w:tcPr>
            <w:tcW w:w="3828" w:type="dxa"/>
            <w:vAlign w:val="center"/>
          </w:tcPr>
          <w:p>
            <w:pPr>
              <w:pStyle w:val="14"/>
              <w:ind w:firstLine="0" w:firstLineChars="0"/>
            </w:pPr>
            <w:r>
              <w:t>下游</w:t>
            </w:r>
          </w:p>
        </w:tc>
        <w:tc>
          <w:tcPr>
            <w:tcW w:w="2917" w:type="dxa"/>
            <w:vAlign w:val="center"/>
          </w:tcPr>
          <w:p>
            <w:pPr>
              <w:pStyle w:val="14"/>
              <w:ind w:firstLine="0" w:firstLineChars="0"/>
            </w:pPr>
            <w:r>
              <w:t>左右岸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002" w:type="dxa"/>
            <w:vAlign w:val="center"/>
          </w:tcPr>
          <w:p>
            <w:pPr>
              <w:pStyle w:val="15"/>
            </w:pPr>
            <w:r>
              <w:t>大型水库大坝</w:t>
            </w:r>
          </w:p>
        </w:tc>
        <w:tc>
          <w:tcPr>
            <w:tcW w:w="3828" w:type="dxa"/>
          </w:tcPr>
          <w:p>
            <w:pPr>
              <w:pStyle w:val="15"/>
            </w:pPr>
            <w:r>
              <w:t>管理范围边界线外延</w:t>
            </w:r>
          </w:p>
          <w:p>
            <w:pPr>
              <w:pStyle w:val="15"/>
            </w:pPr>
            <w:r>
              <w:t xml:space="preserve">300～500m </w:t>
            </w:r>
          </w:p>
        </w:tc>
        <w:tc>
          <w:tcPr>
            <w:tcW w:w="2917" w:type="dxa"/>
            <w:vAlign w:val="center"/>
          </w:tcPr>
          <w:p>
            <w:pPr>
              <w:pStyle w:val="15"/>
            </w:pPr>
            <w:r>
              <w:t>管理范围边界线外延</w:t>
            </w:r>
          </w:p>
          <w:p>
            <w:pPr>
              <w:pStyle w:val="15"/>
            </w:pPr>
            <w:r>
              <w:t>200～300m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2002" w:type="dxa"/>
            <w:vAlign w:val="center"/>
          </w:tcPr>
          <w:p>
            <w:pPr>
              <w:pStyle w:val="15"/>
            </w:pPr>
            <w:r>
              <w:t>中型水库大坝</w:t>
            </w:r>
          </w:p>
        </w:tc>
        <w:tc>
          <w:tcPr>
            <w:tcW w:w="3828" w:type="dxa"/>
            <w:vAlign w:val="center"/>
          </w:tcPr>
          <w:p>
            <w:pPr>
              <w:pStyle w:val="15"/>
            </w:pPr>
            <w:r>
              <w:t>管理范围边界线外延</w:t>
            </w:r>
          </w:p>
          <w:p>
            <w:pPr>
              <w:pStyle w:val="15"/>
            </w:pPr>
            <w:r>
              <w:t>200～300m</w:t>
            </w:r>
          </w:p>
        </w:tc>
        <w:tc>
          <w:tcPr>
            <w:tcW w:w="2917" w:type="dxa"/>
            <w:vAlign w:val="center"/>
          </w:tcPr>
          <w:p>
            <w:pPr>
              <w:pStyle w:val="15"/>
            </w:pPr>
            <w:r>
              <w:t>管理范围边界线外延</w:t>
            </w:r>
          </w:p>
          <w:p>
            <w:pPr>
              <w:pStyle w:val="15"/>
            </w:pPr>
            <w:r>
              <w:t>100～200m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002" w:type="dxa"/>
            <w:vAlign w:val="center"/>
          </w:tcPr>
          <w:p>
            <w:pPr>
              <w:pStyle w:val="15"/>
            </w:pPr>
            <w:r>
              <w:t>小型水库大坝</w:t>
            </w:r>
          </w:p>
        </w:tc>
        <w:tc>
          <w:tcPr>
            <w:tcW w:w="3828" w:type="dxa"/>
          </w:tcPr>
          <w:p>
            <w:pPr>
              <w:pStyle w:val="15"/>
            </w:pPr>
            <w:r>
              <w:t>管理范围边界线外延</w:t>
            </w:r>
          </w:p>
          <w:p>
            <w:pPr>
              <w:pStyle w:val="15"/>
            </w:pPr>
            <w:r>
              <w:t xml:space="preserve">50～200m </w:t>
            </w:r>
          </w:p>
        </w:tc>
        <w:tc>
          <w:tcPr>
            <w:tcW w:w="2917" w:type="dxa"/>
          </w:tcPr>
          <w:p>
            <w:pPr>
              <w:pStyle w:val="15"/>
            </w:pPr>
            <w:r>
              <w:t>管理范围边界线外延</w:t>
            </w:r>
          </w:p>
          <w:p>
            <w:pPr>
              <w:pStyle w:val="15"/>
            </w:pPr>
            <w:r>
              <w:t xml:space="preserve">50～100m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002" w:type="dxa"/>
            <w:vAlign w:val="center"/>
          </w:tcPr>
          <w:p>
            <w:pPr>
              <w:pStyle w:val="15"/>
            </w:pPr>
            <w:r>
              <w:t>其他建筑物</w:t>
            </w:r>
          </w:p>
        </w:tc>
        <w:tc>
          <w:tcPr>
            <w:tcW w:w="6745" w:type="dxa"/>
            <w:gridSpan w:val="2"/>
            <w:vAlign w:val="center"/>
          </w:tcPr>
          <w:p>
            <w:pPr>
              <w:pStyle w:val="15"/>
            </w:pPr>
            <w:r>
              <w:t>由工程外轮廓线向外：大中型30~50m、小型10~30m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8747" w:type="dxa"/>
            <w:gridSpan w:val="3"/>
          </w:tcPr>
          <w:p>
            <w:pPr>
              <w:pStyle w:val="15"/>
              <w:jc w:val="left"/>
            </w:pPr>
            <w:r>
              <w:t>注1：溢洪道的管理范围边界线向外延伸50～100m为保护范围。</w:t>
            </w:r>
          </w:p>
          <w:p>
            <w:pPr>
              <w:pStyle w:val="15"/>
              <w:jc w:val="left"/>
            </w:pPr>
            <w:r>
              <w:t>注2：当保护范围线超过分水岭时以分水岭为界。</w:t>
            </w:r>
          </w:p>
        </w:tc>
      </w:tr>
    </w:tbl>
    <w:p>
      <w:pPr>
        <w:ind w:firstLine="640"/>
      </w:pPr>
      <w:r>
        <w:rPr>
          <w:rFonts w:hint="eastAsia"/>
        </w:rPr>
        <w:t>办公室、会议室、资料档案室、仓库、防汛调度室、值班室、车库、食堂、值班宿舍及其他附属设施等建（构）筑物等运行区可沿用各级自然资源部门划界的范围。</w:t>
      </w:r>
    </w:p>
    <w:p>
      <w:pPr>
        <w:numPr>
          <w:ilvl w:val="0"/>
          <w:numId w:val="1"/>
        </w:numPr>
        <w:bidi w:val="0"/>
        <w:rPr>
          <w:rFonts w:hint="eastAsia"/>
          <w:b/>
          <w:bCs/>
        </w:rPr>
      </w:pPr>
      <w:r>
        <w:rPr>
          <w:rFonts w:hint="eastAsia"/>
          <w:b/>
          <w:bCs/>
        </w:rPr>
        <w:t>朝阳水库</w:t>
      </w:r>
    </w:p>
    <w:p>
      <w:pPr>
        <w:ind w:firstLine="640"/>
        <w:rPr>
          <w:rFonts w:hint="eastAsia"/>
          <w:b/>
          <w:bCs/>
        </w:rPr>
      </w:pPr>
      <w:r>
        <w:rPr>
          <w:rFonts w:hint="eastAsia"/>
        </w:rPr>
        <w:t>（1）管理范围线标绘</w:t>
      </w:r>
    </w:p>
    <w:p>
      <w:pPr>
        <w:rPr>
          <w:rFonts w:hint="eastAsia" w:cs="Times New Roman"/>
          <w:color w:val="000000" w:themeColor="text1"/>
          <w:lang w:val="en-US" w:eastAsia="zh-CN"/>
          <w14:textFill>
            <w14:solidFill>
              <w14:schemeClr w14:val="tx1"/>
            </w14:solidFill>
          </w14:textFill>
        </w:rPr>
      </w:pPr>
      <w:r>
        <w:rPr>
          <w:rFonts w:hint="eastAsia" w:cs="Times New Roman"/>
          <w:color w:val="000000" w:themeColor="text1"/>
          <w14:textFill>
            <w14:solidFill>
              <w14:schemeClr w14:val="tx1"/>
            </w14:solidFill>
          </w14:textFill>
        </w:rPr>
        <w:t>库区管理范围线按</w:t>
      </w:r>
      <w:r>
        <w:rPr>
          <w:rFonts w:hint="eastAsia" w:cs="Times New Roman"/>
          <w:color w:val="000000" w:themeColor="text1"/>
          <w:lang w:eastAsia="zh-CN"/>
          <w14:textFill>
            <w14:solidFill>
              <w14:schemeClr w14:val="tx1"/>
            </w14:solidFill>
          </w14:textFill>
        </w:rPr>
        <w:t>湖南</w:t>
      </w:r>
      <w:r>
        <w:rPr>
          <w:rFonts w:hint="eastAsia" w:cs="Times New Roman"/>
          <w:color w:val="000000" w:themeColor="text1"/>
          <w14:textFill>
            <w14:solidFill>
              <w14:schemeClr w14:val="tx1"/>
            </w14:solidFill>
          </w14:textFill>
        </w:rPr>
        <w:t>省水文水资源勘测中心提供的朝阳水库设计洪水回水位成果</w:t>
      </w:r>
      <w:r>
        <w:rPr>
          <w:rFonts w:hint="eastAsia" w:cs="Times New Roman"/>
          <w:color w:val="000000" w:themeColor="text1"/>
          <w:lang w:eastAsia="zh-CN"/>
          <w14:textFill>
            <w14:solidFill>
              <w14:schemeClr w14:val="tx1"/>
            </w14:solidFill>
          </w14:textFill>
        </w:rPr>
        <w:t>标绘，其中</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CY-SK-G052</w:t>
      </w:r>
      <w:r>
        <w:rPr>
          <w:rFonts w:hint="eastAsia" w:cs="Times New Roman"/>
          <w:color w:val="000000" w:themeColor="text1"/>
          <w:lang w:val="en-US" w:eastAsia="zh-CN"/>
          <w14:textFill>
            <w14:solidFill>
              <w14:schemeClr w14:val="tx1"/>
            </w14:solidFill>
          </w14:textFill>
        </w:rPr>
        <w:t>界桩到</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CY-SK-G09</w:t>
      </w:r>
      <w:r>
        <w:rPr>
          <w:rFonts w:hint="eastAsia" w:eastAsia="仿宋" w:cs="Times New Roman"/>
          <w:color w:val="000000" w:themeColor="text1"/>
          <w:sz w:val="32"/>
          <w:szCs w:val="32"/>
          <w:lang w:val="en-US" w:eastAsia="zh-CN"/>
          <w14:textFill>
            <w14:solidFill>
              <w14:schemeClr w14:val="tx1"/>
            </w14:solidFill>
          </w14:textFill>
        </w:rPr>
        <w:t>6</w:t>
      </w:r>
      <w:r>
        <w:rPr>
          <w:rFonts w:hint="eastAsia" w:cs="Times New Roman"/>
          <w:color w:val="000000" w:themeColor="text1"/>
          <w:lang w:val="en-US" w:eastAsia="zh-CN"/>
          <w14:textFill>
            <w14:solidFill>
              <w14:schemeClr w14:val="tx1"/>
            </w14:solidFill>
          </w14:textFill>
        </w:rPr>
        <w:t>界桩按朝阳水库附属林地范围标绘。</w:t>
      </w:r>
    </w:p>
    <w:p>
      <w:pPr>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坝区管理范围线以枢纽工程两端开挖线顺坡向外延伸50米标绘，枢纽工程下游以管理人员现场指定范围标绘，枢纽工程下游右岸管理范围线与溢洪道管理范围相衔接，枢纽工程下游左岸管理范围线与管理人员现场指定范围相衔接，溢洪道按工程轮廓线顺坡向外延伸10米标绘，溢洪道末端向</w:t>
      </w:r>
      <w:r>
        <w:rPr>
          <w:rFonts w:hint="eastAsia" w:cs="Times New Roman"/>
          <w:color w:val="000000" w:themeColor="text1"/>
          <w:lang w:eastAsia="zh-CN"/>
          <w14:textFill>
            <w14:solidFill>
              <w14:schemeClr w14:val="tx1"/>
            </w14:solidFill>
          </w14:textFill>
        </w:rPr>
        <w:t>下游</w:t>
      </w:r>
      <w:r>
        <w:rPr>
          <w:rFonts w:hint="eastAsia" w:cs="Times New Roman"/>
          <w:color w:val="000000" w:themeColor="text1"/>
          <w14:textFill>
            <w14:solidFill>
              <w14:schemeClr w14:val="tx1"/>
            </w14:solidFill>
          </w14:textFill>
        </w:rPr>
        <w:t>延伸100米标绘。运行管理区包含在枢纽工程管理范围内，不另外进行标绘。</w:t>
      </w:r>
    </w:p>
    <w:p>
      <w:pPr>
        <w:numPr>
          <w:ilvl w:val="0"/>
          <w:numId w:val="2"/>
        </w:numPr>
        <w:rPr>
          <w:rFonts w:hint="eastAsia"/>
        </w:rPr>
      </w:pPr>
      <w:r>
        <w:rPr>
          <w:rFonts w:hint="eastAsia"/>
        </w:rPr>
        <w:t>保护范围线标绘</w:t>
      </w:r>
    </w:p>
    <w:p>
      <w:pPr>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库区保护范围以管理范围线外延20米标绘，水库大坝两端以管理范围线外延100米进行标绘，大坝下游以管理范围线外延200米标绘，溢洪道的保护范围以管理范围线向外延伸50米进行标绘。</w:t>
      </w:r>
    </w:p>
    <w:p>
      <w:pPr>
        <w:numPr>
          <w:ilvl w:val="0"/>
          <w:numId w:val="1"/>
        </w:numPr>
        <w:ind w:firstLine="640"/>
        <w:rPr>
          <w:rFonts w:hint="eastAsia"/>
          <w:b/>
          <w:bCs/>
        </w:rPr>
      </w:pPr>
      <w:r>
        <w:rPr>
          <w:rFonts w:hint="eastAsia"/>
          <w:b/>
          <w:bCs/>
          <w:lang w:eastAsia="zh-CN"/>
        </w:rPr>
        <w:t>板凳坡</w:t>
      </w:r>
      <w:r>
        <w:rPr>
          <w:rFonts w:hint="eastAsia"/>
          <w:b/>
          <w:bCs/>
        </w:rPr>
        <w:t>水库</w:t>
      </w:r>
    </w:p>
    <w:p>
      <w:pPr>
        <w:numPr>
          <w:ilvl w:val="0"/>
          <w:numId w:val="3"/>
        </w:numPr>
        <w:rPr>
          <w:rFonts w:hint="eastAsia"/>
        </w:rPr>
      </w:pPr>
      <w:r>
        <w:rPr>
          <w:rFonts w:hint="eastAsia"/>
        </w:rPr>
        <w:t>管理范围线标绘</w:t>
      </w:r>
    </w:p>
    <w:p>
      <w:pPr>
        <w:pStyle w:val="16"/>
        <w:ind w:firstLine="640"/>
        <w:rPr>
          <w:rFonts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板凳坡</w:t>
      </w:r>
      <w:r>
        <w:rPr>
          <w:rFonts w:hint="eastAsia" w:cs="Times New Roman"/>
          <w:color w:val="000000" w:themeColor="text1"/>
          <w14:textFill>
            <w14:solidFill>
              <w14:schemeClr w14:val="tx1"/>
            </w14:solidFill>
          </w14:textFill>
        </w:rPr>
        <w:t>水库除险加固与注册登记资料无水库20年一遇洪水位</w:t>
      </w:r>
      <w:r>
        <w:rPr>
          <w:rFonts w:hint="eastAsia" w:cs="Times New Roman"/>
          <w:color w:val="000000" w:themeColor="text1"/>
          <w:lang w:eastAsia="zh-CN"/>
          <w14:textFill>
            <w14:solidFill>
              <w14:schemeClr w14:val="tx1"/>
            </w14:solidFill>
          </w14:textFill>
        </w:rPr>
        <w:t>，</w:t>
      </w:r>
      <w:r>
        <w:rPr>
          <w:rFonts w:hint="eastAsia" w:cs="Times New Roman"/>
          <w:color w:val="000000" w:themeColor="text1"/>
          <w14:textFill>
            <w14:solidFill>
              <w14:schemeClr w14:val="tx1"/>
            </w14:solidFill>
          </w14:textFill>
        </w:rPr>
        <w:t>按省水利厅（LXD-2020-027）号工作联系单的要求，</w:t>
      </w:r>
      <w:r>
        <w:rPr>
          <w:rFonts w:cs="Times New Roman"/>
          <w:color w:val="000000" w:themeColor="text1"/>
          <w14:textFill>
            <w14:solidFill>
              <w14:schemeClr w14:val="tx1"/>
            </w14:solidFill>
          </w14:textFill>
        </w:rPr>
        <w:t>库区按照</w:t>
      </w:r>
      <w:r>
        <w:rPr>
          <w:rFonts w:hint="eastAsia" w:cs="Times New Roman"/>
          <w:color w:val="000000" w:themeColor="text1"/>
          <w:lang w:val="en-US" w:eastAsia="zh-CN"/>
          <w14:textFill>
            <w14:solidFill>
              <w14:schemeClr w14:val="tx1"/>
            </w14:solidFill>
          </w14:textFill>
        </w:rPr>
        <w:t>水库正常蓄水位+1米</w:t>
      </w:r>
      <w:r>
        <w:rPr>
          <w:rFonts w:hint="eastAsia" w:cs="Times New Roman"/>
          <w:color w:val="000000" w:themeColor="text1"/>
          <w14:textFill>
            <w14:solidFill>
              <w14:schemeClr w14:val="tx1"/>
            </w14:solidFill>
          </w14:textFill>
        </w:rPr>
        <w:t>作为库区管理范围线</w:t>
      </w:r>
      <w:r>
        <w:rPr>
          <w:rFonts w:cs="Times New Roman"/>
          <w:color w:val="000000" w:themeColor="text1"/>
          <w14:textFill>
            <w14:solidFill>
              <w14:schemeClr w14:val="tx1"/>
            </w14:solidFill>
          </w14:textFill>
        </w:rPr>
        <w:t>。</w:t>
      </w:r>
    </w:p>
    <w:p>
      <w:pPr>
        <w:pStyle w:val="16"/>
        <w:ind w:firstLine="640"/>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坝区管理范围线以枢纽工程左端开挖线顺坡向外延伸50米标绘，右端超出分水岭的部分以分水岭为界，枢纽工程下游以坝脚线向外延伸30米</w:t>
      </w:r>
      <w:r>
        <w:rPr>
          <w:rFonts w:hint="eastAsia" w:cs="Times New Roman"/>
          <w:color w:val="000000" w:themeColor="text1"/>
          <w:lang w:eastAsia="zh-CN"/>
          <w14:textFill>
            <w14:solidFill>
              <w14:schemeClr w14:val="tx1"/>
            </w14:solidFill>
          </w14:textFill>
        </w:rPr>
        <w:t>与河湖划界成果界线相衔接</w:t>
      </w:r>
      <w:r>
        <w:rPr>
          <w:rFonts w:hint="eastAsia" w:cs="Times New Roman"/>
          <w:color w:val="000000" w:themeColor="text1"/>
          <w14:textFill>
            <w14:solidFill>
              <w14:schemeClr w14:val="tx1"/>
            </w14:solidFill>
          </w14:textFill>
        </w:rPr>
        <w:t>。运行管理区在管理范围线外，单独标绘。</w:t>
      </w:r>
    </w:p>
    <w:p>
      <w:pPr>
        <w:numPr>
          <w:ilvl w:val="0"/>
          <w:numId w:val="3"/>
        </w:numPr>
        <w:rPr>
          <w:rFonts w:hint="eastAsia"/>
        </w:rPr>
      </w:pPr>
      <w:r>
        <w:rPr>
          <w:rFonts w:hint="eastAsia"/>
          <w:lang w:eastAsia="zh-CN"/>
        </w:rPr>
        <w:t>保护</w:t>
      </w:r>
      <w:r>
        <w:rPr>
          <w:rFonts w:hint="eastAsia"/>
        </w:rPr>
        <w:t>范围线标绘</w:t>
      </w:r>
    </w:p>
    <w:p>
      <w:pPr>
        <w:pStyle w:val="16"/>
        <w:ind w:firstLine="64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库区保护范围以管理范围线外延20米标绘，枢纽工程保护范围左端以管理范围边界线外延50米标绘，右端超出分水岭的部分以分水岭为界,大坝下游以管理范围线外延50米标绘,运行区以工程轮廓范围进行标绘。</w:t>
      </w:r>
    </w:p>
    <w:p>
      <w:pPr>
        <w:numPr>
          <w:ilvl w:val="0"/>
          <w:numId w:val="1"/>
        </w:numPr>
        <w:ind w:firstLine="640"/>
        <w:rPr>
          <w:rFonts w:hint="eastAsia"/>
          <w:b/>
          <w:bCs/>
          <w:lang w:eastAsia="zh-CN"/>
        </w:rPr>
      </w:pPr>
      <w:r>
        <w:rPr>
          <w:rFonts w:hint="eastAsia"/>
          <w:b/>
          <w:bCs/>
          <w:lang w:eastAsia="zh-CN"/>
        </w:rPr>
        <w:t>姑召水库</w:t>
      </w:r>
    </w:p>
    <w:p>
      <w:pPr>
        <w:ind w:firstLine="640"/>
      </w:pPr>
      <w:r>
        <w:rPr>
          <w:rFonts w:hint="eastAsia"/>
        </w:rPr>
        <w:t>（1）管理范围线标绘</w:t>
      </w:r>
    </w:p>
    <w:p>
      <w:pPr>
        <w:pStyle w:val="16"/>
        <w:ind w:firstLine="640"/>
        <w:rPr>
          <w:rFonts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姑召</w:t>
      </w:r>
      <w:r>
        <w:rPr>
          <w:rFonts w:hint="eastAsia" w:cs="Times New Roman"/>
          <w:color w:val="000000" w:themeColor="text1"/>
          <w14:textFill>
            <w14:solidFill>
              <w14:schemeClr w14:val="tx1"/>
            </w14:solidFill>
          </w14:textFill>
        </w:rPr>
        <w:t>水库除险加固与注册登记资料无水库20年一遇洪水位</w:t>
      </w:r>
      <w:r>
        <w:rPr>
          <w:rFonts w:hint="eastAsia" w:cs="Times New Roman"/>
          <w:color w:val="000000" w:themeColor="text1"/>
          <w:lang w:eastAsia="zh-CN"/>
          <w14:textFill>
            <w14:solidFill>
              <w14:schemeClr w14:val="tx1"/>
            </w14:solidFill>
          </w14:textFill>
        </w:rPr>
        <w:t>，</w:t>
      </w:r>
      <w:r>
        <w:rPr>
          <w:rFonts w:hint="eastAsia" w:cs="Times New Roman"/>
          <w:color w:val="000000" w:themeColor="text1"/>
          <w14:textFill>
            <w14:solidFill>
              <w14:schemeClr w14:val="tx1"/>
            </w14:solidFill>
          </w14:textFill>
        </w:rPr>
        <w:t>按省水利厅（LXD-2020-027）号工作联系单的要求，</w:t>
      </w:r>
      <w:r>
        <w:rPr>
          <w:rFonts w:cs="Times New Roman"/>
          <w:color w:val="000000" w:themeColor="text1"/>
          <w14:textFill>
            <w14:solidFill>
              <w14:schemeClr w14:val="tx1"/>
            </w14:solidFill>
          </w14:textFill>
        </w:rPr>
        <w:t>库区按照</w:t>
      </w:r>
      <w:r>
        <w:rPr>
          <w:rFonts w:hint="eastAsia" w:cs="Times New Roman"/>
          <w:color w:val="000000" w:themeColor="text1"/>
          <w:lang w:val="en-US" w:eastAsia="zh-CN"/>
          <w14:textFill>
            <w14:solidFill>
              <w14:schemeClr w14:val="tx1"/>
            </w14:solidFill>
          </w14:textFill>
        </w:rPr>
        <w:t>水库正常蓄水位+1米</w:t>
      </w:r>
      <w:r>
        <w:rPr>
          <w:rFonts w:hint="eastAsia" w:cs="Times New Roman"/>
          <w:color w:val="000000" w:themeColor="text1"/>
          <w14:textFill>
            <w14:solidFill>
              <w14:schemeClr w14:val="tx1"/>
            </w14:solidFill>
          </w14:textFill>
        </w:rPr>
        <w:t>作为库区管理范围线</w:t>
      </w:r>
      <w:r>
        <w:rPr>
          <w:rFonts w:cs="Times New Roman"/>
          <w:color w:val="000000" w:themeColor="text1"/>
          <w14:textFill>
            <w14:solidFill>
              <w14:schemeClr w14:val="tx1"/>
            </w14:solidFill>
          </w14:textFill>
        </w:rPr>
        <w:t>。</w:t>
      </w:r>
    </w:p>
    <w:p>
      <w:pPr>
        <w:pStyle w:val="17"/>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坝区管理范围线以枢纽工程两端开挖线顺坡向外延伸50米标绘，枢纽工程下游以大坝坝脚线向外水平延伸30米，大坝下游右岸管理范围线与溢洪道管理范围相衔接，溢洪道按工程轮廓线顺坡向外延伸10米，</w:t>
      </w:r>
      <w:r>
        <w:rPr>
          <w:rFonts w:hint="eastAsia" w:cs="Times New Roman"/>
          <w:color w:val="000000" w:themeColor="text1"/>
          <w:lang w:eastAsia="zh-CN"/>
          <w14:textFill>
            <w14:solidFill>
              <w14:schemeClr w14:val="tx1"/>
            </w14:solidFill>
          </w14:textFill>
        </w:rPr>
        <w:t>溢洪道</w:t>
      </w:r>
      <w:r>
        <w:rPr>
          <w:rFonts w:hint="eastAsia" w:cs="Times New Roman"/>
          <w:color w:val="000000" w:themeColor="text1"/>
          <w14:textFill>
            <w14:solidFill>
              <w14:schemeClr w14:val="tx1"/>
            </w14:solidFill>
          </w14:textFill>
        </w:rPr>
        <w:t>末端向下游延伸100米标绘。运行管理区包含在枢纽工程管理范围内，不另外进行标绘。</w:t>
      </w:r>
    </w:p>
    <w:p>
      <w:pPr>
        <w:ind w:firstLine="640"/>
      </w:pPr>
      <w:r>
        <w:rPr>
          <w:rFonts w:hint="eastAsia"/>
        </w:rPr>
        <w:t>（2）保护范围线标绘</w:t>
      </w:r>
    </w:p>
    <w:p>
      <w:pPr>
        <w:pStyle w:val="17"/>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库区保护范围以管理范围边界线外延20米标绘，枢纽工程左端超出分水岭的部分以分水岭为界，右端以管理范围线向外延伸50米进行标绘，大坝下游以管理范围线外延50米标绘，溢洪道保护范围以溢洪道管理范围外延50米标绘。</w:t>
      </w:r>
    </w:p>
    <w:p>
      <w:pPr>
        <w:numPr>
          <w:ilvl w:val="0"/>
          <w:numId w:val="1"/>
        </w:numPr>
        <w:ind w:firstLine="640"/>
        <w:rPr>
          <w:rFonts w:hint="eastAsia"/>
          <w:b/>
          <w:bCs/>
          <w:lang w:eastAsia="zh-CN"/>
        </w:rPr>
      </w:pPr>
      <w:r>
        <w:rPr>
          <w:rFonts w:hint="eastAsia"/>
          <w:b/>
          <w:bCs/>
          <w:lang w:eastAsia="zh-CN"/>
        </w:rPr>
        <w:t>半溪水库</w:t>
      </w:r>
    </w:p>
    <w:p>
      <w:pPr>
        <w:ind w:firstLine="640"/>
      </w:pPr>
      <w:r>
        <w:rPr>
          <w:rFonts w:hint="eastAsia"/>
        </w:rPr>
        <w:t>（1）管理范围线标绘</w:t>
      </w:r>
    </w:p>
    <w:p>
      <w:pPr>
        <w:pStyle w:val="16"/>
        <w:ind w:firstLine="640"/>
        <w:rPr>
          <w:rFonts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半溪</w:t>
      </w:r>
      <w:r>
        <w:rPr>
          <w:rFonts w:hint="eastAsia" w:cs="Times New Roman"/>
          <w:color w:val="000000" w:themeColor="text1"/>
          <w14:textFill>
            <w14:solidFill>
              <w14:schemeClr w14:val="tx1"/>
            </w14:solidFill>
          </w14:textFill>
        </w:rPr>
        <w:t>水库除险加固与注册登记资料无水库20年一遇洪水位</w:t>
      </w:r>
      <w:r>
        <w:rPr>
          <w:rFonts w:hint="eastAsia" w:cs="Times New Roman"/>
          <w:color w:val="000000" w:themeColor="text1"/>
          <w:lang w:eastAsia="zh-CN"/>
          <w14:textFill>
            <w14:solidFill>
              <w14:schemeClr w14:val="tx1"/>
            </w14:solidFill>
          </w14:textFill>
        </w:rPr>
        <w:t>，</w:t>
      </w:r>
      <w:r>
        <w:rPr>
          <w:rFonts w:hint="eastAsia" w:cs="Times New Roman"/>
          <w:color w:val="000000" w:themeColor="text1"/>
          <w14:textFill>
            <w14:solidFill>
              <w14:schemeClr w14:val="tx1"/>
            </w14:solidFill>
          </w14:textFill>
        </w:rPr>
        <w:t>按省水利厅（LXD-2020-027）号工作联系单的要求，</w:t>
      </w:r>
      <w:r>
        <w:rPr>
          <w:rFonts w:cs="Times New Roman"/>
          <w:color w:val="000000" w:themeColor="text1"/>
          <w14:textFill>
            <w14:solidFill>
              <w14:schemeClr w14:val="tx1"/>
            </w14:solidFill>
          </w14:textFill>
        </w:rPr>
        <w:t>库区按照</w:t>
      </w:r>
      <w:r>
        <w:rPr>
          <w:rFonts w:hint="eastAsia" w:cs="Times New Roman"/>
          <w:color w:val="000000" w:themeColor="text1"/>
          <w:lang w:val="en-US" w:eastAsia="zh-CN"/>
          <w14:textFill>
            <w14:solidFill>
              <w14:schemeClr w14:val="tx1"/>
            </w14:solidFill>
          </w14:textFill>
        </w:rPr>
        <w:t>水库正常蓄水位+1米</w:t>
      </w:r>
      <w:r>
        <w:rPr>
          <w:rFonts w:hint="eastAsia" w:cs="Times New Roman"/>
          <w:color w:val="000000" w:themeColor="text1"/>
          <w14:textFill>
            <w14:solidFill>
              <w14:schemeClr w14:val="tx1"/>
            </w14:solidFill>
          </w14:textFill>
        </w:rPr>
        <w:t>作为库区管理范围线</w:t>
      </w:r>
      <w:r>
        <w:rPr>
          <w:rFonts w:cs="Times New Roman"/>
          <w:color w:val="000000" w:themeColor="text1"/>
          <w14:textFill>
            <w14:solidFill>
              <w14:schemeClr w14:val="tx1"/>
            </w14:solidFill>
          </w14:textFill>
        </w:rPr>
        <w:t>。</w:t>
      </w:r>
    </w:p>
    <w:p>
      <w:pPr>
        <w:pStyle w:val="17"/>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坝区管理范围线以枢纽工程</w:t>
      </w:r>
      <w:r>
        <w:rPr>
          <w:rFonts w:cs="Times New Roman"/>
          <w:color w:val="000000" w:themeColor="text1"/>
          <w14:textFill>
            <w14:solidFill>
              <w14:schemeClr w14:val="tx1"/>
            </w14:solidFill>
          </w14:textFill>
        </w:rPr>
        <w:t>两端开挖线顺坡向外延伸50米标绘，</w:t>
      </w:r>
      <w:r>
        <w:rPr>
          <w:rFonts w:hint="eastAsia" w:cs="Times New Roman"/>
          <w:color w:val="000000" w:themeColor="text1"/>
          <w14:textFill>
            <w14:solidFill>
              <w14:schemeClr w14:val="tx1"/>
            </w14:solidFill>
          </w14:textFill>
        </w:rPr>
        <w:t>枢纽工程</w:t>
      </w:r>
      <w:r>
        <w:rPr>
          <w:rFonts w:cs="Times New Roman"/>
          <w:color w:val="000000" w:themeColor="text1"/>
          <w14:textFill>
            <w14:solidFill>
              <w14:schemeClr w14:val="tx1"/>
            </w14:solidFill>
          </w14:textFill>
        </w:rPr>
        <w:t>下游以</w:t>
      </w:r>
      <w:r>
        <w:rPr>
          <w:rFonts w:hint="eastAsia" w:cs="Times New Roman"/>
          <w:color w:val="000000" w:themeColor="text1"/>
          <w14:textFill>
            <w14:solidFill>
              <w14:schemeClr w14:val="tx1"/>
            </w14:solidFill>
          </w14:textFill>
        </w:rPr>
        <w:t>大坝</w:t>
      </w:r>
      <w:r>
        <w:rPr>
          <w:rFonts w:cs="Times New Roman"/>
          <w:color w:val="000000" w:themeColor="text1"/>
          <w14:textFill>
            <w14:solidFill>
              <w14:schemeClr w14:val="tx1"/>
            </w14:solidFill>
          </w14:textFill>
        </w:rPr>
        <w:t>坝脚线向外延伸</w:t>
      </w:r>
      <w:r>
        <w:rPr>
          <w:rFonts w:hint="eastAsia" w:cs="Times New Roman"/>
          <w:color w:val="000000" w:themeColor="text1"/>
          <w14:textFill>
            <w14:solidFill>
              <w14:schemeClr w14:val="tx1"/>
            </w14:solidFill>
          </w14:textFill>
        </w:rPr>
        <w:t>30</w:t>
      </w:r>
      <w:r>
        <w:rPr>
          <w:rFonts w:cs="Times New Roman"/>
          <w:color w:val="000000" w:themeColor="text1"/>
          <w14:textFill>
            <w14:solidFill>
              <w14:schemeClr w14:val="tx1"/>
            </w14:solidFill>
          </w14:textFill>
        </w:rPr>
        <w:t>米</w:t>
      </w:r>
      <w:r>
        <w:rPr>
          <w:rFonts w:hint="eastAsia" w:cs="Times New Roman"/>
          <w:color w:val="000000" w:themeColor="text1"/>
          <w14:textFill>
            <w14:solidFill>
              <w14:schemeClr w14:val="tx1"/>
            </w14:solidFill>
          </w14:textFill>
        </w:rPr>
        <w:t>并与溢洪道管理范围相衔接，</w:t>
      </w:r>
      <w:r>
        <w:rPr>
          <w:rFonts w:cs="Times New Roman"/>
          <w:color w:val="000000" w:themeColor="text1"/>
          <w14:textFill>
            <w14:solidFill>
              <w14:schemeClr w14:val="tx1"/>
            </w14:solidFill>
          </w14:textFill>
        </w:rPr>
        <w:t>溢洪道按工程轮廓线顺坡向外延伸10米</w:t>
      </w:r>
      <w:r>
        <w:rPr>
          <w:rFonts w:hint="eastAsia" w:cs="Times New Roman"/>
          <w:color w:val="000000" w:themeColor="text1"/>
          <w14:textFill>
            <w14:solidFill>
              <w14:schemeClr w14:val="tx1"/>
            </w14:solidFill>
          </w14:textFill>
        </w:rPr>
        <w:t>，</w:t>
      </w:r>
      <w:r>
        <w:rPr>
          <w:rFonts w:hint="eastAsia" w:cs="Times New Roman"/>
          <w:color w:val="000000" w:themeColor="text1"/>
          <w:lang w:eastAsia="zh-CN"/>
          <w14:textFill>
            <w14:solidFill>
              <w14:schemeClr w14:val="tx1"/>
            </w14:solidFill>
          </w14:textFill>
        </w:rPr>
        <w:t>溢洪道</w:t>
      </w:r>
      <w:r>
        <w:rPr>
          <w:rFonts w:hint="eastAsia" w:cs="Times New Roman"/>
          <w:color w:val="000000" w:themeColor="text1"/>
          <w14:textFill>
            <w14:solidFill>
              <w14:schemeClr w14:val="tx1"/>
            </w14:solidFill>
          </w14:textFill>
        </w:rPr>
        <w:t>末端向</w:t>
      </w:r>
      <w:r>
        <w:rPr>
          <w:rFonts w:hint="eastAsia" w:cs="Times New Roman"/>
          <w:color w:val="000000" w:themeColor="text1"/>
          <w:lang w:eastAsia="zh-CN"/>
          <w14:textFill>
            <w14:solidFill>
              <w14:schemeClr w14:val="tx1"/>
            </w14:solidFill>
          </w14:textFill>
        </w:rPr>
        <w:t>下游</w:t>
      </w:r>
      <w:r>
        <w:rPr>
          <w:rFonts w:hint="eastAsia" w:cs="Times New Roman"/>
          <w:color w:val="000000" w:themeColor="text1"/>
          <w14:textFill>
            <w14:solidFill>
              <w14:schemeClr w14:val="tx1"/>
            </w14:solidFill>
          </w14:textFill>
        </w:rPr>
        <w:t>延伸100米</w:t>
      </w:r>
      <w:r>
        <w:rPr>
          <w:rFonts w:cs="Times New Roman"/>
          <w:color w:val="000000" w:themeColor="text1"/>
          <w14:textFill>
            <w14:solidFill>
              <w14:schemeClr w14:val="tx1"/>
            </w14:solidFill>
          </w14:textFill>
        </w:rPr>
        <w:t>标绘。</w:t>
      </w:r>
    </w:p>
    <w:p>
      <w:pPr>
        <w:ind w:firstLine="640"/>
      </w:pPr>
      <w:r>
        <w:rPr>
          <w:rFonts w:hint="eastAsia"/>
        </w:rPr>
        <w:t>（2）保护范围线标绘</w:t>
      </w:r>
    </w:p>
    <w:p>
      <w:pPr>
        <w:pStyle w:val="16"/>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库区</w:t>
      </w:r>
      <w:r>
        <w:rPr>
          <w:rFonts w:cs="Times New Roman"/>
          <w:color w:val="000000" w:themeColor="text1"/>
          <w14:textFill>
            <w14:solidFill>
              <w14:schemeClr w14:val="tx1"/>
            </w14:solidFill>
          </w14:textFill>
        </w:rPr>
        <w:t>保护范围以管理范围线外延</w:t>
      </w:r>
      <w:r>
        <w:rPr>
          <w:rFonts w:hint="eastAsia" w:cs="Times New Roman"/>
          <w:color w:val="000000" w:themeColor="text1"/>
          <w14:textFill>
            <w14:solidFill>
              <w14:schemeClr w14:val="tx1"/>
            </w14:solidFill>
          </w14:textFill>
        </w:rPr>
        <w:t>20</w:t>
      </w:r>
      <w:r>
        <w:rPr>
          <w:rFonts w:cs="Times New Roman"/>
          <w:color w:val="000000" w:themeColor="text1"/>
          <w14:textFill>
            <w14:solidFill>
              <w14:schemeClr w14:val="tx1"/>
            </w14:solidFill>
          </w14:textFill>
        </w:rPr>
        <w:t>米标绘，</w:t>
      </w:r>
      <w:r>
        <w:rPr>
          <w:rFonts w:hint="eastAsia" w:cs="Times New Roman"/>
          <w:color w:val="000000" w:themeColor="text1"/>
          <w14:textFill>
            <w14:solidFill>
              <w14:schemeClr w14:val="tx1"/>
            </w14:solidFill>
          </w14:textFill>
        </w:rPr>
        <w:t>大坝两端</w:t>
      </w:r>
      <w:r>
        <w:rPr>
          <w:rFonts w:cs="Times New Roman"/>
          <w:color w:val="000000" w:themeColor="text1"/>
          <w14:textFill>
            <w14:solidFill>
              <w14:schemeClr w14:val="tx1"/>
            </w14:solidFill>
          </w14:textFill>
        </w:rPr>
        <w:t>以管理范围边界线外延</w:t>
      </w:r>
      <w:r>
        <w:rPr>
          <w:rFonts w:hint="eastAsia" w:cs="Times New Roman"/>
          <w:color w:val="000000" w:themeColor="text1"/>
          <w14:textFill>
            <w14:solidFill>
              <w14:schemeClr w14:val="tx1"/>
            </w14:solidFill>
          </w14:textFill>
        </w:rPr>
        <w:t>50</w:t>
      </w:r>
      <w:r>
        <w:rPr>
          <w:rFonts w:cs="Times New Roman"/>
          <w:color w:val="000000" w:themeColor="text1"/>
          <w14:textFill>
            <w14:solidFill>
              <w14:schemeClr w14:val="tx1"/>
            </w14:solidFill>
          </w14:textFill>
        </w:rPr>
        <w:t>米标绘，</w:t>
      </w:r>
      <w:r>
        <w:rPr>
          <w:rFonts w:hint="eastAsia" w:cs="Times New Roman"/>
          <w:color w:val="000000" w:themeColor="text1"/>
          <w14:textFill>
            <w14:solidFill>
              <w14:schemeClr w14:val="tx1"/>
            </w14:solidFill>
          </w14:textFill>
        </w:rPr>
        <w:t>大坝下游以管理范围线外延50米进行标绘，溢洪道以管理范围线外延50米进行标绘。</w:t>
      </w:r>
    </w:p>
    <w:p>
      <w:pPr>
        <w:numPr>
          <w:ilvl w:val="0"/>
          <w:numId w:val="1"/>
        </w:numPr>
        <w:ind w:firstLine="640"/>
        <w:rPr>
          <w:rFonts w:hint="eastAsia"/>
          <w:b/>
          <w:bCs/>
          <w:lang w:eastAsia="zh-CN"/>
        </w:rPr>
      </w:pPr>
      <w:r>
        <w:rPr>
          <w:rFonts w:hint="eastAsia"/>
          <w:b/>
          <w:bCs/>
          <w:lang w:eastAsia="zh-CN"/>
        </w:rPr>
        <w:t>杨家坳水库</w:t>
      </w:r>
    </w:p>
    <w:p>
      <w:pPr>
        <w:ind w:firstLine="640"/>
      </w:pPr>
      <w:r>
        <w:rPr>
          <w:rFonts w:hint="eastAsia"/>
        </w:rPr>
        <w:t>（1）管理范围线标绘</w:t>
      </w:r>
    </w:p>
    <w:p>
      <w:pPr>
        <w:pStyle w:val="16"/>
        <w:ind w:firstLine="640"/>
        <w:rPr>
          <w:rFonts w:hint="eastAsia" w:eastAsia="仿宋_GB2312" w:cs="Times New Roman"/>
          <w:color w:val="000000" w:themeColor="text1"/>
          <w:lang w:val="en-US"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杨家坳</w:t>
      </w:r>
      <w:r>
        <w:rPr>
          <w:rFonts w:hint="eastAsia" w:cs="Times New Roman"/>
          <w:color w:val="000000" w:themeColor="text1"/>
          <w14:textFill>
            <w14:solidFill>
              <w14:schemeClr w14:val="tx1"/>
            </w14:solidFill>
          </w14:textFill>
        </w:rPr>
        <w:t>水库除险加固与注册登记资料无水库20年一遇洪水位</w:t>
      </w:r>
      <w:r>
        <w:rPr>
          <w:rFonts w:hint="eastAsia" w:cs="Times New Roman"/>
          <w:color w:val="000000" w:themeColor="text1"/>
          <w:lang w:eastAsia="zh-CN"/>
          <w14:textFill>
            <w14:solidFill>
              <w14:schemeClr w14:val="tx1"/>
            </w14:solidFill>
          </w14:textFill>
        </w:rPr>
        <w:t>，</w:t>
      </w:r>
      <w:r>
        <w:rPr>
          <w:rFonts w:hint="eastAsia" w:cs="Times New Roman"/>
          <w:color w:val="000000" w:themeColor="text1"/>
          <w14:textFill>
            <w14:solidFill>
              <w14:schemeClr w14:val="tx1"/>
            </w14:solidFill>
          </w14:textFill>
        </w:rPr>
        <w:t>按省水利厅（LXD-2020-027）号工作联系单的要求，</w:t>
      </w:r>
      <w:r>
        <w:rPr>
          <w:rFonts w:cs="Times New Roman"/>
          <w:color w:val="000000" w:themeColor="text1"/>
          <w14:textFill>
            <w14:solidFill>
              <w14:schemeClr w14:val="tx1"/>
            </w14:solidFill>
          </w14:textFill>
        </w:rPr>
        <w:t>库区按照</w:t>
      </w:r>
      <w:r>
        <w:rPr>
          <w:rFonts w:hint="eastAsia" w:cs="Times New Roman"/>
          <w:color w:val="000000" w:themeColor="text1"/>
          <w:lang w:val="en-US" w:eastAsia="zh-CN"/>
          <w14:textFill>
            <w14:solidFill>
              <w14:schemeClr w14:val="tx1"/>
            </w14:solidFill>
          </w14:textFill>
        </w:rPr>
        <w:t>水库正常蓄水位+1米</w:t>
      </w:r>
      <w:r>
        <w:rPr>
          <w:rFonts w:hint="eastAsia" w:cs="Times New Roman"/>
          <w:color w:val="000000" w:themeColor="text1"/>
          <w14:textFill>
            <w14:solidFill>
              <w14:schemeClr w14:val="tx1"/>
            </w14:solidFill>
          </w14:textFill>
        </w:rPr>
        <w:t>作为库区管理范围线</w:t>
      </w:r>
      <w:r>
        <w:rPr>
          <w:rFonts w:cs="Times New Roman"/>
          <w:color w:val="000000" w:themeColor="text1"/>
          <w14:textFill>
            <w14:solidFill>
              <w14:schemeClr w14:val="tx1"/>
            </w14:solidFill>
          </w14:textFill>
        </w:rPr>
        <w:t>。</w:t>
      </w:r>
    </w:p>
    <w:p>
      <w:pPr>
        <w:pStyle w:val="17"/>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坝区管理范围线以枢纽工程两端开挖线顺坡向外延伸50米标绘，枢纽工程下游以大坝坝脚线向外水平延伸30米标绘，副坝按主坝标准进行标绘，主坝下游左岸管理范围线与溢洪道管理范围线衔接，溢洪道管理范围线按工程轮廓线顺坡向外延伸10米，</w:t>
      </w:r>
      <w:r>
        <w:rPr>
          <w:rFonts w:hint="eastAsia" w:cs="Times New Roman"/>
          <w:color w:val="000000" w:themeColor="text1"/>
          <w:lang w:eastAsia="zh-CN"/>
          <w14:textFill>
            <w14:solidFill>
              <w14:schemeClr w14:val="tx1"/>
            </w14:solidFill>
          </w14:textFill>
        </w:rPr>
        <w:t>溢洪道</w:t>
      </w:r>
      <w:r>
        <w:rPr>
          <w:rFonts w:hint="eastAsia" w:cs="Times New Roman"/>
          <w:color w:val="000000" w:themeColor="text1"/>
          <w14:textFill>
            <w14:solidFill>
              <w14:schemeClr w14:val="tx1"/>
            </w14:solidFill>
          </w14:textFill>
        </w:rPr>
        <w:t>末端</w:t>
      </w:r>
      <w:r>
        <w:rPr>
          <w:rFonts w:hint="eastAsia" w:cs="Times New Roman"/>
          <w:color w:val="000000" w:themeColor="text1"/>
          <w:lang w:eastAsia="zh-CN"/>
          <w14:textFill>
            <w14:solidFill>
              <w14:schemeClr w14:val="tx1"/>
            </w14:solidFill>
          </w14:textFill>
        </w:rPr>
        <w:t>向下游</w:t>
      </w:r>
      <w:r>
        <w:rPr>
          <w:rFonts w:hint="eastAsia" w:cs="Times New Roman"/>
          <w:color w:val="000000" w:themeColor="text1"/>
          <w14:textFill>
            <w14:solidFill>
              <w14:schemeClr w14:val="tx1"/>
            </w14:solidFill>
          </w14:textFill>
        </w:rPr>
        <w:t>延</w:t>
      </w:r>
      <w:r>
        <w:rPr>
          <w:rFonts w:hint="eastAsia" w:cs="Times New Roman"/>
          <w:color w:val="000000" w:themeColor="text1"/>
          <w:lang w:eastAsia="zh-CN"/>
          <w14:textFill>
            <w14:solidFill>
              <w14:schemeClr w14:val="tx1"/>
            </w14:solidFill>
          </w14:textFill>
        </w:rPr>
        <w:t>伸</w:t>
      </w:r>
      <w:r>
        <w:rPr>
          <w:rFonts w:hint="eastAsia" w:cs="Times New Roman"/>
          <w:color w:val="000000" w:themeColor="text1"/>
          <w14:textFill>
            <w14:solidFill>
              <w14:schemeClr w14:val="tx1"/>
            </w14:solidFill>
          </w14:textFill>
        </w:rPr>
        <w:t>100米标绘。运行管理区在枢纽工程管理范围内，不另行标绘。</w:t>
      </w:r>
    </w:p>
    <w:p>
      <w:pPr>
        <w:ind w:firstLine="640"/>
      </w:pPr>
      <w:r>
        <w:rPr>
          <w:rFonts w:hint="eastAsia"/>
        </w:rPr>
        <w:t>（2）保护范围线标绘</w:t>
      </w:r>
    </w:p>
    <w:p>
      <w:pPr>
        <w:pStyle w:val="16"/>
        <w:ind w:firstLine="640"/>
        <w:rPr>
          <w:rFonts w:hint="eastAsia" w:cs="Times New Roman"/>
          <w:color w:val="000000" w:themeColor="text1"/>
          <w:lang w:eastAsia="zh-CN"/>
          <w14:textFill>
            <w14:solidFill>
              <w14:schemeClr w14:val="tx1"/>
            </w14:solidFill>
          </w14:textFill>
        </w:rPr>
      </w:pPr>
      <w:r>
        <w:rPr>
          <w:rFonts w:hint="eastAsia" w:cs="Times New Roman"/>
          <w:color w:val="000000" w:themeColor="text1"/>
          <w14:textFill>
            <w14:solidFill>
              <w14:schemeClr w14:val="tx1"/>
            </w14:solidFill>
          </w14:textFill>
        </w:rPr>
        <w:t>库区</w:t>
      </w:r>
      <w:r>
        <w:rPr>
          <w:rFonts w:cs="Times New Roman"/>
          <w:color w:val="000000" w:themeColor="text1"/>
          <w14:textFill>
            <w14:solidFill>
              <w14:schemeClr w14:val="tx1"/>
            </w14:solidFill>
          </w14:textFill>
        </w:rPr>
        <w:t>保护范围以管理范围线外延</w:t>
      </w:r>
      <w:r>
        <w:rPr>
          <w:rFonts w:hint="eastAsia" w:cs="Times New Roman"/>
          <w:color w:val="000000" w:themeColor="text1"/>
          <w14:textFill>
            <w14:solidFill>
              <w14:schemeClr w14:val="tx1"/>
            </w14:solidFill>
          </w14:textFill>
        </w:rPr>
        <w:t>20</w:t>
      </w:r>
      <w:r>
        <w:rPr>
          <w:rFonts w:cs="Times New Roman"/>
          <w:color w:val="000000" w:themeColor="text1"/>
          <w14:textFill>
            <w14:solidFill>
              <w14:schemeClr w14:val="tx1"/>
            </w14:solidFill>
          </w14:textFill>
        </w:rPr>
        <w:t>米标绘，</w:t>
      </w:r>
      <w:r>
        <w:rPr>
          <w:rFonts w:hint="eastAsia" w:cs="Times New Roman"/>
          <w:color w:val="000000" w:themeColor="text1"/>
          <w14:textFill>
            <w14:solidFill>
              <w14:schemeClr w14:val="tx1"/>
            </w14:solidFill>
          </w14:textFill>
        </w:rPr>
        <w:t>大坝两端</w:t>
      </w:r>
      <w:r>
        <w:rPr>
          <w:rFonts w:cs="Times New Roman"/>
          <w:color w:val="000000" w:themeColor="text1"/>
          <w14:textFill>
            <w14:solidFill>
              <w14:schemeClr w14:val="tx1"/>
            </w14:solidFill>
          </w14:textFill>
        </w:rPr>
        <w:t>以管理范围边界线外延</w:t>
      </w:r>
      <w:r>
        <w:rPr>
          <w:rFonts w:hint="eastAsia" w:cs="Times New Roman"/>
          <w:color w:val="000000" w:themeColor="text1"/>
          <w14:textFill>
            <w14:solidFill>
              <w14:schemeClr w14:val="tx1"/>
            </w14:solidFill>
          </w14:textFill>
        </w:rPr>
        <w:t>50</w:t>
      </w:r>
      <w:r>
        <w:rPr>
          <w:rFonts w:cs="Times New Roman"/>
          <w:color w:val="000000" w:themeColor="text1"/>
          <w14:textFill>
            <w14:solidFill>
              <w14:schemeClr w14:val="tx1"/>
            </w14:solidFill>
          </w14:textFill>
        </w:rPr>
        <w:t>米标绘，</w:t>
      </w:r>
      <w:r>
        <w:rPr>
          <w:rFonts w:hint="eastAsia" w:cs="Times New Roman"/>
          <w:color w:val="000000" w:themeColor="text1"/>
          <w14:textFill>
            <w14:solidFill>
              <w14:schemeClr w14:val="tx1"/>
            </w14:solidFill>
          </w14:textFill>
        </w:rPr>
        <w:t>大坝下游以管理范围线外延50米进行标绘，溢洪道以管理范围线外延50米进行标绘。</w:t>
      </w:r>
    </w:p>
    <w:p>
      <w:pPr>
        <w:numPr>
          <w:ilvl w:val="0"/>
          <w:numId w:val="1"/>
        </w:numPr>
        <w:ind w:firstLine="640"/>
        <w:rPr>
          <w:rFonts w:hint="eastAsia"/>
          <w:b/>
          <w:bCs/>
          <w:lang w:eastAsia="zh-CN"/>
        </w:rPr>
      </w:pPr>
      <w:r>
        <w:rPr>
          <w:rFonts w:hint="eastAsia"/>
          <w:b/>
          <w:bCs/>
          <w:lang w:eastAsia="zh-CN"/>
        </w:rPr>
        <w:t>刘坪水库</w:t>
      </w:r>
    </w:p>
    <w:p>
      <w:pPr>
        <w:ind w:firstLine="640"/>
      </w:pPr>
      <w:r>
        <w:rPr>
          <w:rFonts w:hint="eastAsia"/>
        </w:rPr>
        <w:t>（1）管理范围线标绘</w:t>
      </w:r>
    </w:p>
    <w:p>
      <w:pPr>
        <w:pStyle w:val="16"/>
        <w:ind w:firstLine="64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刘坪水库除险加固与注册登记资料无水库20年一遇洪水位，按省水利厅（LXD-2020-027）号工作联系单的要求，库区按照水库正常蓄水位+1米作为库区管理范围线。</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坝区管理范围线以枢纽工程两端开挖线顺坡向外延伸50米标绘，枢纽工程下游以大坝坝脚线向外水平延伸30米标绘，枢纽工程下游左岸管理范围线与溢洪道管理范围线衔接，溢洪道管理范围线按工程轮廓线顺坡向外延伸10米，</w:t>
      </w:r>
      <w:r>
        <w:rPr>
          <w:rFonts w:hint="eastAsia" w:cs="Times New Roman"/>
          <w:color w:val="000000" w:themeColor="text1"/>
          <w:lang w:eastAsia="zh-CN"/>
          <w14:textFill>
            <w14:solidFill>
              <w14:schemeClr w14:val="tx1"/>
            </w14:solidFill>
          </w14:textFill>
        </w:rPr>
        <w:t>溢洪道</w:t>
      </w:r>
      <w:r>
        <w:rPr>
          <w:rFonts w:hint="eastAsia" w:cs="Times New Roman"/>
          <w:color w:val="000000" w:themeColor="text1"/>
          <w14:textFill>
            <w14:solidFill>
              <w14:schemeClr w14:val="tx1"/>
            </w14:solidFill>
          </w14:textFill>
        </w:rPr>
        <w:t>末端</w:t>
      </w:r>
      <w:r>
        <w:rPr>
          <w:rFonts w:hint="eastAsia" w:cs="Times New Roman"/>
          <w:color w:val="000000" w:themeColor="text1"/>
          <w:lang w:eastAsia="zh-CN"/>
          <w14:textFill>
            <w14:solidFill>
              <w14:schemeClr w14:val="tx1"/>
            </w14:solidFill>
          </w14:textFill>
        </w:rPr>
        <w:t>向下游</w:t>
      </w:r>
      <w:r>
        <w:rPr>
          <w:rFonts w:hint="eastAsia" w:cs="Times New Roman"/>
          <w:color w:val="000000" w:themeColor="text1"/>
          <w14:textFill>
            <w14:solidFill>
              <w14:schemeClr w14:val="tx1"/>
            </w14:solidFill>
          </w14:textFill>
        </w:rPr>
        <w:t>延</w:t>
      </w:r>
      <w:r>
        <w:rPr>
          <w:rFonts w:hint="eastAsia" w:cs="Times New Roman"/>
          <w:color w:val="000000" w:themeColor="text1"/>
          <w:lang w:eastAsia="zh-CN"/>
          <w14:textFill>
            <w14:solidFill>
              <w14:schemeClr w14:val="tx1"/>
            </w14:solidFill>
          </w14:textFill>
        </w:rPr>
        <w:t>伸</w:t>
      </w:r>
      <w:r>
        <w:rPr>
          <w:rFonts w:hint="eastAsia" w:cs="Times New Roman"/>
          <w:color w:val="000000" w:themeColor="text1"/>
          <w14:textFill>
            <w14:solidFill>
              <w14:schemeClr w14:val="tx1"/>
            </w14:solidFill>
          </w14:textFill>
        </w:rPr>
        <w:t>100米标绘。</w:t>
      </w:r>
    </w:p>
    <w:p>
      <w:r>
        <w:rPr>
          <w:rFonts w:hint="eastAsia"/>
        </w:rPr>
        <w:t>（2）保护范围线标绘</w:t>
      </w:r>
    </w:p>
    <w:p>
      <w:pPr>
        <w:ind w:firstLine="640"/>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水库坝区</w:t>
      </w:r>
      <w:r>
        <w:rPr>
          <w:rFonts w:hint="eastAsia" w:cs="Times New Roman"/>
          <w:color w:val="000000" w:themeColor="text1"/>
          <w:lang w:eastAsia="zh-CN"/>
          <w14:textFill>
            <w14:solidFill>
              <w14:schemeClr w14:val="tx1"/>
            </w14:solidFill>
          </w14:textFill>
        </w:rPr>
        <w:t>下游</w:t>
      </w:r>
      <w:r>
        <w:rPr>
          <w:rFonts w:hint="eastAsia" w:cs="Times New Roman"/>
          <w:color w:val="000000" w:themeColor="text1"/>
          <w14:textFill>
            <w14:solidFill>
              <w14:schemeClr w14:val="tx1"/>
            </w14:solidFill>
          </w14:textFill>
        </w:rPr>
        <w:t>保护范围以管理范围边界线外延50米标绘，坝区</w:t>
      </w:r>
      <w:r>
        <w:rPr>
          <w:rFonts w:hint="eastAsia" w:cs="Times New Roman"/>
          <w:color w:val="000000" w:themeColor="text1"/>
          <w:lang w:eastAsia="zh-CN"/>
          <w14:textFill>
            <w14:solidFill>
              <w14:schemeClr w14:val="tx1"/>
            </w14:solidFill>
          </w14:textFill>
        </w:rPr>
        <w:t>两端</w:t>
      </w:r>
      <w:r>
        <w:rPr>
          <w:rFonts w:hint="eastAsia" w:cs="Times New Roman"/>
          <w:color w:val="000000" w:themeColor="text1"/>
          <w14:textFill>
            <w14:solidFill>
              <w14:schemeClr w14:val="tx1"/>
            </w14:solidFill>
          </w14:textFill>
        </w:rPr>
        <w:t>保护范围以管理范围边界线外延50米标绘</w:t>
      </w:r>
      <w:r>
        <w:rPr>
          <w:rFonts w:hint="eastAsia" w:cs="Times New Roman"/>
          <w:color w:val="000000" w:themeColor="text1"/>
          <w:lang w:eastAsia="zh-CN"/>
          <w14:textFill>
            <w14:solidFill>
              <w14:schemeClr w14:val="tx1"/>
            </w14:solidFill>
          </w14:textFill>
        </w:rPr>
        <w:t>，</w:t>
      </w:r>
      <w:r>
        <w:rPr>
          <w:rFonts w:hint="eastAsia" w:cs="Times New Roman"/>
          <w:color w:val="000000" w:themeColor="text1"/>
          <w14:textFill>
            <w14:solidFill>
              <w14:schemeClr w14:val="tx1"/>
            </w14:solidFill>
          </w14:textFill>
        </w:rPr>
        <w:t>库区保护范围按管理范围线外延20米进行标绘。</w:t>
      </w:r>
    </w:p>
    <w:p>
      <w:pPr>
        <w:numPr>
          <w:ilvl w:val="0"/>
          <w:numId w:val="1"/>
        </w:numPr>
        <w:ind w:firstLine="640"/>
        <w:rPr>
          <w:rFonts w:hint="eastAsia"/>
          <w:b/>
          <w:bCs/>
          <w:lang w:val="en-US" w:eastAsia="zh-CN"/>
        </w:rPr>
      </w:pPr>
      <w:r>
        <w:rPr>
          <w:rFonts w:hint="eastAsia"/>
          <w:b/>
          <w:bCs/>
          <w:lang w:eastAsia="zh-CN"/>
        </w:rPr>
        <w:t>米贝水库</w:t>
      </w:r>
    </w:p>
    <w:p>
      <w:pPr>
        <w:ind w:firstLine="640"/>
      </w:pPr>
      <w:r>
        <w:rPr>
          <w:rFonts w:hint="eastAsia"/>
        </w:rPr>
        <w:t>（1）管理范围线标绘</w:t>
      </w:r>
    </w:p>
    <w:p>
      <w:pPr>
        <w:pStyle w:val="17"/>
        <w:ind w:firstLine="640"/>
        <w:rPr>
          <w:rFonts w:hint="eastAsia"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米贝</w:t>
      </w:r>
      <w:r>
        <w:rPr>
          <w:rFonts w:hint="eastAsia" w:cs="Times New Roman"/>
          <w:color w:val="000000" w:themeColor="text1"/>
          <w14:textFill>
            <w14:solidFill>
              <w14:schemeClr w14:val="tx1"/>
            </w14:solidFill>
          </w14:textFill>
        </w:rPr>
        <w:t>水库除险加固与注册登记资料有水库20年一遇设计洪水位，与新晃侗族自治县水利局协商后确定，库区管理范围线按</w:t>
      </w:r>
      <w:r>
        <w:rPr>
          <w:rFonts w:hint="eastAsia" w:cs="Times New Roman"/>
          <w:color w:val="000000" w:themeColor="text1"/>
          <w:lang w:eastAsia="zh-CN"/>
          <w14:textFill>
            <w14:solidFill>
              <w14:schemeClr w14:val="tx1"/>
            </w14:solidFill>
          </w14:textFill>
        </w:rPr>
        <w:t>水库</w:t>
      </w:r>
      <w:r>
        <w:rPr>
          <w:rFonts w:hint="eastAsia" w:cs="Times New Roman"/>
          <w:color w:val="000000" w:themeColor="text1"/>
          <w:lang w:val="en-US" w:eastAsia="zh-CN"/>
          <w14:textFill>
            <w14:solidFill>
              <w14:schemeClr w14:val="tx1"/>
            </w14:solidFill>
          </w14:textFill>
        </w:rPr>
        <w:t>20年一遇</w:t>
      </w:r>
      <w:r>
        <w:rPr>
          <w:rFonts w:hint="eastAsia" w:cs="Times New Roman"/>
          <w:color w:val="000000" w:themeColor="text1"/>
          <w14:textFill>
            <w14:solidFill>
              <w14:schemeClr w14:val="tx1"/>
            </w14:solidFill>
          </w14:textFill>
        </w:rPr>
        <w:t>设计洪水位标绘。</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坝区管理范围线以枢纽工程两端开挖线顺坡向外延伸50米标绘，枢纽工程下游以大坝坝脚线向外水平延伸30米标绘。运行管理区管理包含在枢纽工程管理范围内，不另行标绘。</w:t>
      </w:r>
    </w:p>
    <w:p>
      <w:pPr>
        <w:rPr>
          <w:rFonts w:hint="eastAsia"/>
        </w:rPr>
      </w:pPr>
      <w:r>
        <w:rPr>
          <w:rFonts w:hint="eastAsia"/>
        </w:rPr>
        <w:t>（2）保护范围线标绘</w:t>
      </w:r>
    </w:p>
    <w:p>
      <w:pPr>
        <w:ind w:firstLine="640"/>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水库坝区</w:t>
      </w:r>
      <w:r>
        <w:rPr>
          <w:rFonts w:hint="eastAsia" w:cs="Times New Roman"/>
          <w:color w:val="000000" w:themeColor="text1"/>
          <w:lang w:eastAsia="zh-CN"/>
          <w14:textFill>
            <w14:solidFill>
              <w14:schemeClr w14:val="tx1"/>
            </w14:solidFill>
          </w14:textFill>
        </w:rPr>
        <w:t>下游</w:t>
      </w:r>
      <w:r>
        <w:rPr>
          <w:rFonts w:hint="eastAsia" w:cs="Times New Roman"/>
          <w:color w:val="000000" w:themeColor="text1"/>
          <w14:textFill>
            <w14:solidFill>
              <w14:schemeClr w14:val="tx1"/>
            </w14:solidFill>
          </w14:textFill>
        </w:rPr>
        <w:t>保护范围以管理范围边界线外延50米标绘，坝区</w:t>
      </w:r>
      <w:r>
        <w:rPr>
          <w:rFonts w:hint="eastAsia" w:cs="Times New Roman"/>
          <w:color w:val="000000" w:themeColor="text1"/>
          <w:lang w:eastAsia="zh-CN"/>
          <w14:textFill>
            <w14:solidFill>
              <w14:schemeClr w14:val="tx1"/>
            </w14:solidFill>
          </w14:textFill>
        </w:rPr>
        <w:t>右端</w:t>
      </w:r>
      <w:r>
        <w:rPr>
          <w:rFonts w:hint="eastAsia" w:cs="Times New Roman"/>
          <w:color w:val="000000" w:themeColor="text1"/>
          <w14:textFill>
            <w14:solidFill>
              <w14:schemeClr w14:val="tx1"/>
            </w14:solidFill>
          </w14:textFill>
        </w:rPr>
        <w:t>保护范围以管理范围边界线外延50米标绘，</w:t>
      </w:r>
      <w:r>
        <w:rPr>
          <w:rFonts w:hint="eastAsia" w:cs="Times New Roman"/>
          <w:color w:val="000000" w:themeColor="text1"/>
          <w:lang w:eastAsia="zh-CN"/>
          <w14:textFill>
            <w14:solidFill>
              <w14:schemeClr w14:val="tx1"/>
            </w14:solidFill>
          </w14:textFill>
        </w:rPr>
        <w:t>左</w:t>
      </w:r>
      <w:r>
        <w:rPr>
          <w:rFonts w:hint="eastAsia" w:cs="Times New Roman"/>
          <w:color w:val="000000" w:themeColor="text1"/>
          <w14:textFill>
            <w14:solidFill>
              <w14:schemeClr w14:val="tx1"/>
            </w14:solidFill>
          </w14:textFill>
        </w:rPr>
        <w:t>端超出分水岭部分</w:t>
      </w:r>
      <w:r>
        <w:rPr>
          <w:rFonts w:hint="eastAsia" w:cs="Times New Roman"/>
          <w:color w:val="000000" w:themeColor="text1"/>
          <w:lang w:eastAsia="zh-CN"/>
          <w14:textFill>
            <w14:solidFill>
              <w14:schemeClr w14:val="tx1"/>
            </w14:solidFill>
          </w14:textFill>
        </w:rPr>
        <w:t>以</w:t>
      </w:r>
      <w:r>
        <w:rPr>
          <w:rFonts w:hint="eastAsia" w:cs="Times New Roman"/>
          <w:color w:val="000000" w:themeColor="text1"/>
          <w14:textFill>
            <w14:solidFill>
              <w14:schemeClr w14:val="tx1"/>
            </w14:solidFill>
          </w14:textFill>
        </w:rPr>
        <w:t>分水岭为界，库区保护范围按管理范围线外延20米进行标绘。</w:t>
      </w:r>
    </w:p>
    <w:p>
      <w:pPr>
        <w:pStyle w:val="4"/>
        <w:spacing w:before="0" w:beforeLines="-2147483648" w:beforeAutospacing="0" w:after="0" w:afterLines="-2147483648" w:afterAutospacing="0" w:line="680" w:lineRule="exact"/>
        <w:ind w:firstLine="640"/>
        <w:rPr>
          <w:rFonts w:hint="eastAsia"/>
          <w:b w:val="0"/>
          <w:bCs/>
          <w:szCs w:val="32"/>
          <w:lang w:val="en-US" w:eastAsia="zh-CN"/>
        </w:rPr>
      </w:pPr>
      <w:bookmarkStart w:id="55" w:name="_Toc60738511"/>
      <w:bookmarkStart w:id="56" w:name="_Toc19715"/>
      <w:r>
        <w:rPr>
          <w:rFonts w:hint="eastAsia"/>
          <w:b w:val="0"/>
          <w:bCs/>
          <w:szCs w:val="32"/>
          <w:lang w:val="en-US" w:eastAsia="zh-CN"/>
        </w:rPr>
        <w:t>3.2.2 水闸</w:t>
      </w:r>
      <w:bookmarkEnd w:id="55"/>
      <w:bookmarkEnd w:id="56"/>
    </w:p>
    <w:p>
      <w:pPr>
        <w:numPr>
          <w:ilvl w:val="0"/>
          <w:numId w:val="0"/>
        </w:numPr>
        <w:ind w:firstLine="643" w:firstLineChars="200"/>
        <w:rPr>
          <w:rFonts w:hint="eastAsia"/>
          <w:b/>
          <w:bCs/>
          <w:lang w:val="en-IE" w:eastAsia="zh-CN"/>
        </w:rPr>
      </w:pPr>
      <w:r>
        <w:rPr>
          <w:rFonts w:hint="eastAsia"/>
          <w:b/>
          <w:bCs/>
          <w:lang w:val="en-IE" w:eastAsia="zh-CN"/>
        </w:rPr>
        <w:t>1.</w:t>
      </w:r>
      <w:r>
        <w:rPr>
          <w:rFonts w:hint="eastAsia"/>
          <w:b/>
          <w:bCs/>
          <w:lang w:val="en-US" w:eastAsia="zh-CN"/>
        </w:rPr>
        <w:t xml:space="preserve"> </w:t>
      </w:r>
      <w:r>
        <w:rPr>
          <w:rFonts w:hint="eastAsia"/>
          <w:b/>
          <w:bCs/>
          <w:lang w:val="en-IE" w:eastAsia="zh-CN"/>
        </w:rPr>
        <w:t>狮子岩水闸</w:t>
      </w:r>
    </w:p>
    <w:p>
      <w:pPr>
        <w:ind w:firstLine="640"/>
      </w:pPr>
      <w:r>
        <w:rPr>
          <w:rFonts w:hint="eastAsia"/>
        </w:rPr>
        <w:t>（1）管理范围线标绘</w:t>
      </w:r>
    </w:p>
    <w:p>
      <w:pPr>
        <w:rPr>
          <w:rFonts w:hint="eastAsia"/>
        </w:rPr>
      </w:pPr>
      <w:r>
        <w:rPr>
          <w:rFonts w:hint="eastAsia" w:cs="Times New Roman"/>
          <w:color w:val="000000" w:themeColor="text1"/>
          <w14:textFill>
            <w14:solidFill>
              <w14:schemeClr w14:val="tx1"/>
            </w14:solidFill>
          </w14:textFill>
        </w:rPr>
        <w:t>狮子岩水闸</w:t>
      </w:r>
      <w:r>
        <w:rPr>
          <w:rFonts w:hint="eastAsia" w:cs="Times New Roman"/>
          <w:color w:val="000000" w:themeColor="text1"/>
          <w:lang w:eastAsia="zh-CN"/>
          <w14:textFill>
            <w14:solidFill>
              <w14:schemeClr w14:val="tx1"/>
            </w14:solidFill>
          </w14:textFill>
        </w:rPr>
        <w:t>上游至拦污栅</w:t>
      </w:r>
      <w:r>
        <w:rPr>
          <w:rFonts w:hint="eastAsia" w:cs="Times New Roman"/>
          <w:color w:val="000000" w:themeColor="text1"/>
          <w14:textFill>
            <w14:solidFill>
              <w14:schemeClr w14:val="tx1"/>
            </w14:solidFill>
          </w14:textFill>
        </w:rPr>
        <w:t>,水闸下游至筏道末端为管理范围线，</w:t>
      </w:r>
      <w:r>
        <w:rPr>
          <w:rFonts w:hint="eastAsia" w:cs="Times New Roman"/>
          <w:color w:val="000000" w:themeColor="text1"/>
          <w:lang w:eastAsia="zh-CN"/>
          <w14:textFill>
            <w14:solidFill>
              <w14:schemeClr w14:val="tx1"/>
            </w14:solidFill>
          </w14:textFill>
        </w:rPr>
        <w:t>副坝以原有土石坝为管理范围，</w:t>
      </w:r>
      <w:r>
        <w:rPr>
          <w:rFonts w:hint="eastAsia" w:cs="Times New Roman"/>
          <w:color w:val="000000" w:themeColor="text1"/>
          <w14:textFill>
            <w14:solidFill>
              <w14:schemeClr w14:val="tx1"/>
            </w14:solidFill>
          </w14:textFill>
        </w:rPr>
        <w:t>两端按照</w:t>
      </w:r>
      <w:r>
        <w:rPr>
          <w:rFonts w:hint="eastAsia" w:cs="Times New Roman"/>
          <w:color w:val="000000" w:themeColor="text1"/>
          <w:lang w:eastAsia="zh-CN"/>
          <w14:textFill>
            <w14:solidFill>
              <w14:schemeClr w14:val="tx1"/>
            </w14:solidFill>
          </w14:textFill>
        </w:rPr>
        <w:t>城市规划红线</w:t>
      </w:r>
      <w:r>
        <w:rPr>
          <w:rFonts w:hint="eastAsia" w:cs="Times New Roman"/>
          <w:color w:val="000000" w:themeColor="text1"/>
          <w14:textFill>
            <w14:solidFill>
              <w14:schemeClr w14:val="tx1"/>
            </w14:solidFill>
          </w14:textFill>
        </w:rPr>
        <w:t>作为管理范围。狮子岩水闸附属段按</w:t>
      </w:r>
      <w:r>
        <w:rPr>
          <w:rFonts w:hint="eastAsia" w:cs="Times New Roman"/>
          <w:color w:val="000000" w:themeColor="text1"/>
          <w:lang w:eastAsia="zh-CN"/>
          <w14:textFill>
            <w14:solidFill>
              <w14:schemeClr w14:val="tx1"/>
            </w14:solidFill>
          </w14:textFill>
        </w:rPr>
        <w:t>城市规划红线</w:t>
      </w:r>
      <w:r>
        <w:rPr>
          <w:rFonts w:hint="eastAsia" w:cs="Times New Roman"/>
          <w:color w:val="000000" w:themeColor="text1"/>
          <w14:textFill>
            <w14:solidFill>
              <w14:schemeClr w14:val="tx1"/>
            </w14:solidFill>
          </w14:textFill>
        </w:rPr>
        <w:t>作为管理范围。</w:t>
      </w:r>
    </w:p>
    <w:p>
      <w:pPr>
        <w:ind w:firstLine="640"/>
      </w:pPr>
      <w:r>
        <w:rPr>
          <w:rFonts w:hint="eastAsia"/>
        </w:rPr>
        <w:t>（2）保护范围线标绘</w:t>
      </w:r>
    </w:p>
    <w:p>
      <w:pPr>
        <w:ind w:firstLine="640"/>
        <w:rPr>
          <w:rFonts w:hint="default" w:eastAsia="仿宋_GB2312" w:cs="Times New Roman"/>
          <w:color w:val="000000" w:themeColor="text1"/>
          <w:lang w:val="en-US" w:eastAsia="zh-CN"/>
          <w14:textFill>
            <w14:solidFill>
              <w14:schemeClr w14:val="tx1"/>
            </w14:solidFill>
          </w14:textFill>
        </w:rPr>
      </w:pPr>
      <w:r>
        <w:rPr>
          <w:rFonts w:hint="eastAsia" w:cs="Times New Roman"/>
          <w:color w:val="000000" w:themeColor="text1"/>
          <w14:textFill>
            <w14:solidFill>
              <w14:schemeClr w14:val="tx1"/>
            </w14:solidFill>
          </w14:textFill>
        </w:rPr>
        <w:t>水闸</w:t>
      </w:r>
      <w:r>
        <w:rPr>
          <w:rFonts w:hint="eastAsia" w:cs="Times New Roman"/>
          <w:color w:val="000000" w:themeColor="text1"/>
          <w:lang w:eastAsia="zh-CN"/>
          <w14:textFill>
            <w14:solidFill>
              <w14:schemeClr w14:val="tx1"/>
            </w14:solidFill>
          </w14:textFill>
        </w:rPr>
        <w:t>上</w:t>
      </w:r>
      <w:r>
        <w:rPr>
          <w:rFonts w:hint="eastAsia" w:cs="Times New Roman"/>
          <w:color w:val="000000" w:themeColor="text1"/>
          <w14:textFill>
            <w14:solidFill>
              <w14:schemeClr w14:val="tx1"/>
            </w14:solidFill>
          </w14:textFill>
        </w:rPr>
        <w:t>下游以管理范围线外扩150米进行标绘</w:t>
      </w:r>
      <w:r>
        <w:rPr>
          <w:rFonts w:hint="eastAsia" w:cs="Times New Roman"/>
          <w:color w:val="000000" w:themeColor="text1"/>
          <w:lang w:eastAsia="zh-CN"/>
          <w14:textFill>
            <w14:solidFill>
              <w14:schemeClr w14:val="tx1"/>
            </w14:solidFill>
          </w14:textFill>
        </w:rPr>
        <w:t>。其余部分以新晃侗族自治县城市规划界线为界。</w:t>
      </w:r>
    </w:p>
    <w:p>
      <w:pPr>
        <w:pStyle w:val="3"/>
        <w:bidi w:val="0"/>
        <w:spacing w:before="0" w:beforeLines="-2147483648" w:beforeAutospacing="0" w:after="0" w:afterLines="-2147483648" w:afterAutospacing="0" w:line="680" w:lineRule="exact"/>
        <w:rPr>
          <w:rFonts w:hint="eastAsia" w:ascii="Times New Roman" w:hAnsi="Times New Roman" w:cstheme="majorBidi"/>
          <w:bCs/>
          <w:szCs w:val="32"/>
          <w:lang w:val="en-US" w:eastAsia="zh-CN"/>
        </w:rPr>
      </w:pPr>
      <w:bookmarkStart w:id="57" w:name="_Toc2919"/>
      <w:bookmarkStart w:id="58" w:name="_Toc17613"/>
      <w:bookmarkStart w:id="59" w:name="_Toc14931"/>
      <w:r>
        <w:rPr>
          <w:rFonts w:hint="eastAsia" w:ascii="Times New Roman" w:hAnsi="Times New Roman" w:cstheme="majorBidi"/>
          <w:bCs/>
          <w:szCs w:val="32"/>
          <w:lang w:val="en-US" w:eastAsia="zh-CN"/>
        </w:rPr>
        <w:t>3.3 电子桩和电子告示牌布设</w:t>
      </w:r>
      <w:bookmarkEnd w:id="57"/>
      <w:bookmarkEnd w:id="58"/>
      <w:bookmarkEnd w:id="59"/>
    </w:p>
    <w:p>
      <w:pPr>
        <w:pStyle w:val="4"/>
        <w:spacing w:before="0" w:beforeLines="-2147483648" w:beforeAutospacing="0" w:after="0" w:afterLines="-2147483648" w:afterAutospacing="0" w:line="680" w:lineRule="exact"/>
        <w:ind w:firstLine="640"/>
        <w:rPr>
          <w:rFonts w:hint="eastAsia"/>
          <w:b w:val="0"/>
          <w:bCs/>
          <w:szCs w:val="32"/>
          <w:lang w:val="en-US" w:eastAsia="zh-CN"/>
        </w:rPr>
      </w:pPr>
      <w:bookmarkStart w:id="60" w:name="_Toc60738513"/>
      <w:bookmarkStart w:id="61" w:name="_Toc7549"/>
      <w:bookmarkStart w:id="62" w:name="_Toc24392"/>
      <w:r>
        <w:rPr>
          <w:rFonts w:hint="eastAsia"/>
          <w:b w:val="0"/>
          <w:bCs/>
          <w:szCs w:val="32"/>
          <w:lang w:val="en-US" w:eastAsia="zh-CN"/>
        </w:rPr>
        <w:t>3.3.1 电子桩和电子告示牌布设总体原则</w:t>
      </w:r>
      <w:bookmarkEnd w:id="60"/>
      <w:bookmarkEnd w:id="61"/>
      <w:bookmarkEnd w:id="62"/>
    </w:p>
    <w:p>
      <w:pPr>
        <w:ind w:firstLine="640"/>
      </w:pPr>
      <w:r>
        <w:rPr>
          <w:rFonts w:hint="eastAsia"/>
        </w:rPr>
        <w:t>（1）电子界桩布设总体原则</w:t>
      </w:r>
    </w:p>
    <w:p>
      <w:pPr>
        <w:ind w:firstLine="640"/>
      </w:pPr>
      <w:r>
        <w:t>1）布设界桩时以能控制水利工程管理与保护范围边界的基本走向为原则。</w:t>
      </w:r>
    </w:p>
    <w:p>
      <w:pPr>
        <w:ind w:firstLine="640"/>
      </w:pPr>
      <w:r>
        <w:t>2）工程临水侧不布设管理与保护范围界桩。</w:t>
      </w:r>
    </w:p>
    <w:p>
      <w:pPr>
        <w:ind w:firstLine="640"/>
      </w:pPr>
      <w:r>
        <w:rPr>
          <w:rFonts w:hint="eastAsia"/>
        </w:rPr>
        <w:t>（2）电子告示牌布设总体原则</w:t>
      </w:r>
    </w:p>
    <w:p>
      <w:pPr>
        <w:ind w:firstLine="640"/>
      </w:pPr>
      <w:r>
        <w:t>1）水利工程管理范围线的起点、终点各设一个告示牌，起点、终点之间设置的告示牌间距小于3km。</w:t>
      </w:r>
    </w:p>
    <w:p>
      <w:pPr>
        <w:ind w:firstLine="640"/>
      </w:pPr>
      <w:r>
        <w:t>2）水利工程保护范围线的起点、终点各设一个告示牌，起点、终点之间设置的告示牌间距小于6km。</w:t>
      </w:r>
    </w:p>
    <w:p>
      <w:pPr>
        <w:ind w:firstLine="640"/>
      </w:pPr>
      <w:r>
        <w:t>3）堤防工程的临水侧不布设管理与保护范围告示牌。</w:t>
      </w:r>
    </w:p>
    <w:p>
      <w:pPr>
        <w:ind w:firstLine="640"/>
      </w:pPr>
      <w:r>
        <w:t>4）在下列情况设置</w:t>
      </w:r>
      <w:r>
        <w:rPr>
          <w:rFonts w:hint="eastAsia"/>
        </w:rPr>
        <w:t>电子告示牌</w:t>
      </w:r>
      <w:r>
        <w:t>：</w:t>
      </w:r>
    </w:p>
    <w:p>
      <w:pPr>
        <w:ind w:firstLine="64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t>穿越城镇规划区上、下游；</w:t>
      </w:r>
    </w:p>
    <w:p>
      <w:pPr>
        <w:ind w:firstLine="64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t>水利工程重要的下水通道、取水口、电站等；</w:t>
      </w:r>
    </w:p>
    <w:p>
      <w:pPr>
        <w:ind w:firstLine="64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t>人口密集或人流聚集地点河湖岸；</w:t>
      </w:r>
    </w:p>
    <w:p>
      <w:pPr>
        <w:ind w:firstLine="640"/>
      </w:pP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t>水事纠纷和水事案件易发地段或行政界。</w:t>
      </w:r>
    </w:p>
    <w:p>
      <w:pPr>
        <w:pStyle w:val="4"/>
        <w:spacing w:before="0" w:beforeLines="-2147483648" w:beforeAutospacing="0" w:after="0" w:afterLines="-2147483648" w:afterAutospacing="0" w:line="680" w:lineRule="exact"/>
        <w:ind w:firstLine="640"/>
        <w:rPr>
          <w:rFonts w:hint="eastAsia"/>
          <w:b w:val="0"/>
          <w:bCs/>
          <w:szCs w:val="32"/>
          <w:lang w:val="en-US" w:eastAsia="zh-CN"/>
        </w:rPr>
      </w:pPr>
      <w:bookmarkStart w:id="63" w:name="_Toc5854"/>
      <w:bookmarkStart w:id="64" w:name="_Toc357"/>
      <w:bookmarkStart w:id="65" w:name="_Toc60738514"/>
      <w:r>
        <w:rPr>
          <w:rFonts w:hint="eastAsia"/>
          <w:b w:val="0"/>
          <w:bCs/>
          <w:szCs w:val="32"/>
          <w:lang w:val="en-US" w:eastAsia="zh-CN"/>
        </w:rPr>
        <w:t>3.3.2 电子桩和电子告示牌布设密度</w:t>
      </w:r>
      <w:bookmarkEnd w:id="63"/>
      <w:bookmarkEnd w:id="64"/>
      <w:bookmarkEnd w:id="65"/>
    </w:p>
    <w:p>
      <w:pPr>
        <w:ind w:firstLine="640"/>
      </w:pPr>
      <w:r>
        <w:rPr>
          <w:rFonts w:hint="eastAsia"/>
        </w:rPr>
        <w:t>根据水利部印发的《河湖及水利工程界桩、告示牌制作安装标准》（建安〔</w:t>
      </w:r>
      <w:r>
        <w:t>2016〕87号），界桩密度为100~1000m，关键部位适当加密，相邻两界桩之间尽量相互通视。在水利工程无生产、生活等人类活动的陡崖、荒山、森林等地段，根据实际情况加大间距。</w:t>
      </w:r>
    </w:p>
    <w:p>
      <w:pPr>
        <w:ind w:firstLine="640"/>
      </w:pPr>
      <w:r>
        <w:rPr>
          <w:rFonts w:hint="eastAsia"/>
        </w:rPr>
        <w:t>对以下情况增设界桩：</w:t>
      </w:r>
    </w:p>
    <w:p>
      <w:pPr>
        <w:ind w:firstLine="640"/>
      </w:pPr>
      <w:r>
        <w:t>1）水利工程坝区、取水口、电站等重要设施处；</w:t>
      </w:r>
    </w:p>
    <w:p>
      <w:pPr>
        <w:ind w:firstLine="640"/>
      </w:pPr>
      <w:r>
        <w:t>2）水利工程拐弯（角度小于120°）处；</w:t>
      </w:r>
    </w:p>
    <w:p>
      <w:pPr>
        <w:ind w:firstLine="640"/>
      </w:pPr>
      <w:r>
        <w:t>3）水事纠纷和水事案件易发地段或县级以上行政区域边界。</w:t>
      </w:r>
    </w:p>
    <w:p>
      <w:pPr>
        <w:pStyle w:val="4"/>
        <w:spacing w:before="0" w:beforeLines="-2147483648" w:beforeAutospacing="0" w:after="0" w:afterLines="-2147483648" w:afterAutospacing="0" w:line="680" w:lineRule="exact"/>
        <w:ind w:firstLine="640"/>
        <w:rPr>
          <w:rFonts w:hint="eastAsia"/>
          <w:b w:val="0"/>
          <w:bCs/>
          <w:szCs w:val="32"/>
          <w:lang w:val="en-US" w:eastAsia="zh-CN"/>
        </w:rPr>
      </w:pPr>
      <w:bookmarkStart w:id="66" w:name="_Toc22849"/>
      <w:bookmarkStart w:id="67" w:name="_Toc5519"/>
      <w:bookmarkStart w:id="68" w:name="_Toc60738515"/>
      <w:r>
        <w:rPr>
          <w:rFonts w:hint="eastAsia"/>
          <w:b w:val="0"/>
          <w:bCs/>
          <w:szCs w:val="32"/>
          <w:lang w:val="en-US" w:eastAsia="zh-CN"/>
        </w:rPr>
        <w:t>3.3.3 管理与保护范围界桩编号原则</w:t>
      </w:r>
      <w:bookmarkEnd w:id="66"/>
      <w:bookmarkEnd w:id="67"/>
      <w:bookmarkEnd w:id="68"/>
    </w:p>
    <w:p>
      <w:pPr>
        <w:ind w:firstLine="640"/>
      </w:pPr>
      <w:r>
        <w:rPr>
          <w:rFonts w:hint="eastAsia"/>
        </w:rPr>
        <w:t>水库库区界桩序号按照先左岸后右岸编排；坝区界桩序号按照管理需要编排；灌区工程界桩编号从源头开始按照从上往下、从左至右方式分渠道续编界桩编号；水电站、水闸、泵站和其他水利工程编号按照管理需要编排。</w:t>
      </w:r>
    </w:p>
    <w:p>
      <w:pPr>
        <w:pStyle w:val="4"/>
        <w:spacing w:before="0" w:beforeLines="-2147483648" w:beforeAutospacing="0" w:after="0" w:afterLines="-2147483648" w:afterAutospacing="0" w:line="680" w:lineRule="exact"/>
        <w:ind w:firstLine="640"/>
        <w:rPr>
          <w:rFonts w:hint="eastAsia"/>
          <w:b w:val="0"/>
          <w:bCs/>
          <w:szCs w:val="32"/>
          <w:lang w:val="en-US" w:eastAsia="zh-CN"/>
        </w:rPr>
      </w:pPr>
      <w:bookmarkStart w:id="69" w:name="_Toc7851"/>
      <w:bookmarkStart w:id="70" w:name="_Toc60738516"/>
      <w:bookmarkStart w:id="71" w:name="_Toc4292"/>
      <w:r>
        <w:rPr>
          <w:rFonts w:hint="eastAsia"/>
          <w:b w:val="0"/>
          <w:bCs/>
          <w:szCs w:val="32"/>
          <w:lang w:val="en-US" w:eastAsia="zh-CN"/>
        </w:rPr>
        <w:t>3.3.4 管理与保护范围界桩编码规则</w:t>
      </w:r>
      <w:bookmarkEnd w:id="69"/>
      <w:bookmarkEnd w:id="70"/>
      <w:bookmarkEnd w:id="71"/>
    </w:p>
    <w:p>
      <w:pPr>
        <w:ind w:firstLine="640"/>
        <w:rPr>
          <w:color w:val="000000" w:themeColor="text1"/>
          <w14:textFill>
            <w14:solidFill>
              <w14:schemeClr w14:val="tx1"/>
            </w14:solidFill>
          </w14:textFill>
        </w:rPr>
      </w:pPr>
      <w:r>
        <w:rPr>
          <w:rFonts w:hint="eastAsia"/>
        </w:rPr>
        <w:t>水利工程界桩编码，按“水利工程名称首字母”</w:t>
      </w:r>
      <w:r>
        <w:t>-</w:t>
      </w:r>
      <w:r>
        <w:rPr>
          <w:rFonts w:hint="eastAsia"/>
        </w:rPr>
        <w:t>“</w:t>
      </w:r>
      <w:r>
        <w:t>水利工程类型首字母</w:t>
      </w:r>
      <w:r>
        <w:rPr>
          <w:rFonts w:hint="eastAsia"/>
        </w:rPr>
        <w:t>”（灌区需按中文的渠道名表示）</w:t>
      </w:r>
      <w:r>
        <w:t xml:space="preserve"> -</w:t>
      </w:r>
      <w:r>
        <w:rPr>
          <w:rFonts w:hint="eastAsia"/>
        </w:rPr>
        <w:t>“</w:t>
      </w:r>
      <w:r>
        <w:t>G（表示管理范围界桩）</w:t>
      </w:r>
      <w:r>
        <w:rPr>
          <w:rFonts w:hint="eastAsia"/>
        </w:rPr>
        <w:t>”</w:t>
      </w:r>
      <w:r>
        <w:t>或</w:t>
      </w:r>
      <w:r>
        <w:rPr>
          <w:rFonts w:hint="eastAsia"/>
        </w:rPr>
        <w:t>“</w:t>
      </w:r>
      <w:r>
        <w:t>B（保护范围界桩）</w:t>
      </w:r>
      <w:r>
        <w:rPr>
          <w:rFonts w:hint="eastAsia"/>
        </w:rPr>
        <w:t>”</w:t>
      </w:r>
      <w:r>
        <w:t>-</w:t>
      </w:r>
      <w:r>
        <w:rPr>
          <w:rFonts w:hint="eastAsia"/>
        </w:rPr>
        <w:t>“</w:t>
      </w:r>
      <w:r>
        <w:t>（L或R）顺序码</w:t>
      </w:r>
      <w:r>
        <w:rPr>
          <w:rFonts w:hint="eastAsia"/>
        </w:rPr>
        <w:t>”</w:t>
      </w:r>
      <w:r>
        <w:t>表示（堤防需要区分左右岸的以</w:t>
      </w:r>
      <w:r>
        <w:rPr>
          <w:rFonts w:hint="eastAsia"/>
        </w:rPr>
        <w:t>“</w:t>
      </w:r>
      <w:r>
        <w:t>L</w:t>
      </w:r>
      <w:r>
        <w:rPr>
          <w:rFonts w:hint="eastAsia"/>
        </w:rPr>
        <w:t>”“</w:t>
      </w:r>
      <w:r>
        <w:t>R</w:t>
      </w:r>
      <w:r>
        <w:rPr>
          <w:rFonts w:hint="eastAsia"/>
        </w:rPr>
        <w:t>”</w:t>
      </w:r>
      <w:r>
        <w:t>加顺序码区分）。其中</w:t>
      </w:r>
      <w:r>
        <w:rPr>
          <w:rFonts w:hint="eastAsia"/>
        </w:rPr>
        <w:t>“</w:t>
      </w:r>
      <w:r>
        <w:t>水利工程类型首字母</w:t>
      </w:r>
      <w:r>
        <w:rPr>
          <w:rFonts w:hint="eastAsia"/>
        </w:rPr>
        <w:t>”</w:t>
      </w:r>
      <w:r>
        <w:t>有如下表示：水库</w:t>
      </w:r>
      <w:r>
        <w:rPr>
          <w:rFonts w:hint="eastAsia"/>
        </w:rPr>
        <w:t>“</w:t>
      </w:r>
      <w:r>
        <w:t>SK</w:t>
      </w:r>
      <w:r>
        <w:rPr>
          <w:rFonts w:hint="eastAsia"/>
        </w:rPr>
        <w:t>”</w:t>
      </w:r>
      <w:r>
        <w:t>、水电站</w:t>
      </w:r>
      <w:r>
        <w:rPr>
          <w:rFonts w:hint="eastAsia"/>
        </w:rPr>
        <w:t>“</w:t>
      </w:r>
      <w:r>
        <w:t>SDZ</w:t>
      </w:r>
      <w:r>
        <w:rPr>
          <w:rFonts w:hint="eastAsia"/>
        </w:rPr>
        <w:t>”</w:t>
      </w:r>
      <w:r>
        <w:t>、水闸</w:t>
      </w:r>
      <w:r>
        <w:rPr>
          <w:rFonts w:hint="eastAsia"/>
        </w:rPr>
        <w:t>“</w:t>
      </w:r>
      <w:r>
        <w:t>SZ</w:t>
      </w:r>
      <w:r>
        <w:rPr>
          <w:rFonts w:hint="eastAsia"/>
        </w:rPr>
        <w:t>”</w:t>
      </w:r>
      <w:r>
        <w:t>、泵站</w:t>
      </w:r>
      <w:r>
        <w:rPr>
          <w:rFonts w:hint="eastAsia"/>
        </w:rPr>
        <w:t>“</w:t>
      </w:r>
      <w:r>
        <w:t>BZ</w:t>
      </w:r>
      <w:r>
        <w:rPr>
          <w:rFonts w:hint="eastAsia"/>
        </w:rPr>
        <w:t>”</w:t>
      </w:r>
      <w:r>
        <w:t>、堤防</w:t>
      </w:r>
      <w:r>
        <w:rPr>
          <w:rFonts w:hint="eastAsia"/>
        </w:rPr>
        <w:t>“</w:t>
      </w:r>
      <w:r>
        <w:t>DF</w:t>
      </w:r>
      <w:r>
        <w:rPr>
          <w:rFonts w:hint="eastAsia"/>
        </w:rPr>
        <w:t>”</w:t>
      </w:r>
      <w:r>
        <w:t>、灌区</w:t>
      </w:r>
      <w:r>
        <w:rPr>
          <w:rFonts w:hint="eastAsia"/>
        </w:rPr>
        <w:t>“</w:t>
      </w:r>
      <w:r>
        <w:t>GQ</w:t>
      </w:r>
      <w:r>
        <w:rPr>
          <w:rFonts w:hint="eastAsia"/>
        </w:rPr>
        <w:t>”</w:t>
      </w:r>
      <w:r>
        <w:t>。</w:t>
      </w:r>
      <w:r>
        <w:rPr>
          <w:color w:val="000000" w:themeColor="text1"/>
          <w14:textFill>
            <w14:solidFill>
              <w14:schemeClr w14:val="tx1"/>
            </w14:solidFill>
          </w14:textFill>
        </w:rPr>
        <w:t>例如</w:t>
      </w:r>
      <w:r>
        <w:rPr>
          <w:rFonts w:hint="eastAsia"/>
          <w:color w:val="000000" w:themeColor="text1"/>
          <w14:textFill>
            <w14:solidFill>
              <w14:schemeClr w14:val="tx1"/>
            </w14:solidFill>
          </w14:textFill>
        </w:rPr>
        <w:t>朝阳水库的管理范围</w:t>
      </w:r>
      <w:r>
        <w:rPr>
          <w:color w:val="000000" w:themeColor="text1"/>
          <w14:textFill>
            <w14:solidFill>
              <w14:schemeClr w14:val="tx1"/>
            </w14:solidFill>
          </w14:textFill>
        </w:rPr>
        <w:t>001号界桩表示为</w:t>
      </w:r>
      <w:r>
        <w:rPr>
          <w:rFonts w:hint="eastAsia"/>
          <w:color w:val="000000" w:themeColor="text1"/>
          <w14:textFill>
            <w14:solidFill>
              <w14:schemeClr w14:val="tx1"/>
            </w14:solidFill>
          </w14:textFill>
        </w:rPr>
        <w:t>“C</w:t>
      </w:r>
      <w:r>
        <w:rPr>
          <w:color w:val="000000" w:themeColor="text1"/>
          <w14:textFill>
            <w14:solidFill>
              <w14:schemeClr w14:val="tx1"/>
            </w14:solidFill>
          </w14:textFill>
        </w:rPr>
        <w:t>Y-SK-G001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，保护</w:t>
      </w:r>
      <w:r>
        <w:rPr>
          <w:rFonts w:hint="eastAsia"/>
          <w:color w:val="000000" w:themeColor="text1"/>
          <w14:textFill>
            <w14:solidFill>
              <w14:schemeClr w14:val="tx1"/>
            </w14:solidFill>
          </w14:textFill>
        </w:rPr>
        <w:t>范围</w:t>
      </w:r>
      <w:r>
        <w:rPr>
          <w:color w:val="000000" w:themeColor="text1"/>
          <w14:textFill>
            <w14:solidFill>
              <w14:schemeClr w14:val="tx1"/>
            </w14:solidFill>
          </w14:textFill>
        </w:rPr>
        <w:t>001号界桩表示为</w:t>
      </w:r>
      <w:r>
        <w:rPr>
          <w:rFonts w:hint="eastAsia"/>
          <w:color w:val="000000" w:themeColor="text1"/>
          <w14:textFill>
            <w14:solidFill>
              <w14:schemeClr w14:val="tx1"/>
            </w14:solidFill>
          </w14:textFill>
        </w:rPr>
        <w:t>“C</w:t>
      </w:r>
      <w:r>
        <w:rPr>
          <w:color w:val="000000" w:themeColor="text1"/>
          <w14:textFill>
            <w14:solidFill>
              <w14:schemeClr w14:val="tx1"/>
            </w14:solidFill>
          </w14:textFill>
        </w:rPr>
        <w:t>Y-SK</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B001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pStyle w:val="4"/>
        <w:spacing w:before="0" w:beforeLines="-2147483648" w:beforeAutospacing="0" w:after="0" w:afterLines="-2147483648" w:afterAutospacing="0" w:line="680" w:lineRule="exact"/>
        <w:ind w:firstLine="640"/>
        <w:rPr>
          <w:rFonts w:hint="eastAsia"/>
          <w:b w:val="0"/>
          <w:bCs/>
          <w:szCs w:val="32"/>
          <w:lang w:val="en-US" w:eastAsia="zh-CN"/>
        </w:rPr>
      </w:pPr>
      <w:bookmarkStart w:id="72" w:name="_Toc60738517"/>
      <w:bookmarkStart w:id="73" w:name="_Toc25275"/>
      <w:bookmarkStart w:id="74" w:name="_Toc32741"/>
      <w:r>
        <w:rPr>
          <w:rFonts w:hint="eastAsia"/>
          <w:b w:val="0"/>
          <w:bCs/>
          <w:szCs w:val="32"/>
          <w:lang w:val="en-US" w:eastAsia="zh-CN"/>
        </w:rPr>
        <w:t>3.3.5 管理与保护范围告示牌编码规则</w:t>
      </w:r>
      <w:bookmarkEnd w:id="72"/>
      <w:bookmarkEnd w:id="73"/>
      <w:bookmarkEnd w:id="74"/>
    </w:p>
    <w:p>
      <w:pPr>
        <w:ind w:firstLine="640"/>
      </w:pPr>
      <w:r>
        <w:rPr>
          <w:rFonts w:hint="eastAsia"/>
        </w:rPr>
        <w:t>水利工程管理与保护范围告示牌，按“水利工程名称首字母”</w:t>
      </w:r>
      <w:r>
        <w:t>-</w:t>
      </w:r>
      <w:r>
        <w:rPr>
          <w:rFonts w:hint="eastAsia"/>
        </w:rPr>
        <w:t>“</w:t>
      </w:r>
      <w:r>
        <w:t>GSP</w:t>
      </w:r>
      <w:r>
        <w:rPr>
          <w:rFonts w:hint="eastAsia"/>
        </w:rPr>
        <w:t>”-“</w:t>
      </w:r>
      <w:r>
        <w:t>G（表示管理范围界桩）</w:t>
      </w:r>
      <w:r>
        <w:rPr>
          <w:rFonts w:hint="eastAsia"/>
        </w:rPr>
        <w:t>”</w:t>
      </w:r>
      <w:r>
        <w:t>或</w:t>
      </w:r>
      <w:r>
        <w:rPr>
          <w:rFonts w:hint="eastAsia"/>
        </w:rPr>
        <w:t>“</w:t>
      </w:r>
      <w:r>
        <w:t>B（保护范围界桩）</w:t>
      </w:r>
      <w:r>
        <w:rPr>
          <w:rFonts w:hint="eastAsia"/>
        </w:rPr>
        <w:t>”</w:t>
      </w:r>
      <w:r>
        <w:t>-</w:t>
      </w:r>
      <w:r>
        <w:rPr>
          <w:rFonts w:hint="eastAsia"/>
        </w:rPr>
        <w:t>“</w:t>
      </w:r>
      <w:r>
        <w:t>（L</w:t>
      </w:r>
      <w:r>
        <w:rPr>
          <w:rFonts w:hint="eastAsia"/>
        </w:rPr>
        <w:t>或</w:t>
      </w:r>
      <w:r>
        <w:t>R）顺序码</w:t>
      </w:r>
      <w:r>
        <w:rPr>
          <w:rFonts w:hint="eastAsia"/>
        </w:rPr>
        <w:t>”</w:t>
      </w:r>
      <w:r>
        <w:t>表示</w:t>
      </w:r>
      <w:r>
        <w:rPr>
          <w:rFonts w:hint="eastAsia"/>
        </w:rPr>
        <w:t>。例如朝阳水库的管理范围</w:t>
      </w:r>
      <w:r>
        <w:t>001号告示牌表示为</w:t>
      </w:r>
      <w:r>
        <w:rPr>
          <w:rFonts w:hint="eastAsia"/>
        </w:rPr>
        <w:t>“</w:t>
      </w:r>
      <w:r>
        <w:t>CY-GSP-G001</w:t>
      </w:r>
      <w:r>
        <w:rPr>
          <w:rFonts w:hint="eastAsia"/>
        </w:rPr>
        <w:t>”</w:t>
      </w:r>
      <w:r>
        <w:t>，保护范围001号告示牌表示为</w:t>
      </w:r>
      <w:r>
        <w:rPr>
          <w:rFonts w:hint="eastAsia"/>
        </w:rPr>
        <w:t>“C</w:t>
      </w:r>
      <w:r>
        <w:t>Y-GSP-B001”。</w:t>
      </w:r>
    </w:p>
    <w:p>
      <w:pPr>
        <w:pStyle w:val="2"/>
        <w:rPr>
          <w:rFonts w:hint="eastAsia"/>
          <w:lang w:val="en-US" w:eastAsia="zh-CN"/>
        </w:rPr>
      </w:pPr>
      <w:bookmarkStart w:id="75" w:name="_Toc14521"/>
      <w:bookmarkStart w:id="76" w:name="_Toc27537"/>
      <w:bookmarkStart w:id="77" w:name="_Toc4600"/>
      <w:r>
        <w:rPr>
          <w:rFonts w:hint="eastAsia"/>
          <w:lang w:val="en-US" w:eastAsia="zh-CN"/>
        </w:rPr>
        <w:t>4 管理与保护范围线核实勘定</w:t>
      </w:r>
      <w:bookmarkEnd w:id="75"/>
      <w:bookmarkEnd w:id="76"/>
      <w:bookmarkEnd w:id="77"/>
    </w:p>
    <w:p>
      <w:pPr>
        <w:ind w:firstLine="640"/>
      </w:pPr>
      <w:r>
        <w:rPr>
          <w:rFonts w:hint="eastAsia"/>
        </w:rPr>
        <w:t>经现场核实勘定</w:t>
      </w:r>
      <w:r>
        <w:t>后</w:t>
      </w:r>
      <w:r>
        <w:rPr>
          <w:rFonts w:hint="eastAsia"/>
        </w:rPr>
        <w:t>，最</w:t>
      </w:r>
      <w:r>
        <w:t>终</w:t>
      </w:r>
      <w:r>
        <w:rPr>
          <w:rFonts w:hint="eastAsia"/>
        </w:rPr>
        <w:t>确定的管理与保护范围</w:t>
      </w:r>
      <w:r>
        <w:t>线</w:t>
      </w:r>
      <w:r>
        <w:rPr>
          <w:rFonts w:hint="eastAsia"/>
        </w:rPr>
        <w:t>、电子界桩和电子告示牌统计情况</w:t>
      </w:r>
      <w:r>
        <w:t>如</w:t>
      </w:r>
      <w:r>
        <w:rPr>
          <w:rFonts w:hint="eastAsia"/>
        </w:rPr>
        <w:t>表</w:t>
      </w:r>
      <w:r>
        <w:rPr>
          <w:rFonts w:hint="eastAsia"/>
          <w:lang w:val="en-US" w:eastAsia="zh-CN"/>
        </w:rPr>
        <w:t>4</w:t>
      </w:r>
      <w:r>
        <w:t>-1</w:t>
      </w:r>
      <w:r>
        <w:rPr>
          <w:rFonts w:hint="eastAsia"/>
        </w:rPr>
        <w:t>所示</w:t>
      </w:r>
      <w:r>
        <w:t>。</w:t>
      </w:r>
    </w:p>
    <w:p>
      <w:pPr>
        <w:pStyle w:val="14"/>
        <w:ind w:firstLine="422"/>
      </w:pPr>
      <w:r>
        <w:t>表</w:t>
      </w:r>
      <w:r>
        <w:rPr>
          <w:rFonts w:hint="eastAsia"/>
          <w:lang w:val="en-US" w:eastAsia="zh-CN"/>
        </w:rPr>
        <w:t>4</w:t>
      </w:r>
      <w:r>
        <w:t>-1 管理</w:t>
      </w:r>
      <w:r>
        <w:rPr>
          <w:rFonts w:hint="eastAsia"/>
        </w:rPr>
        <w:t>与保护</w:t>
      </w:r>
      <w:r>
        <w:t>范围</w:t>
      </w:r>
      <w:r>
        <w:rPr>
          <w:rFonts w:hint="eastAsia"/>
          <w:lang w:eastAsia="zh-CN"/>
        </w:rPr>
        <w:t>划界</w:t>
      </w:r>
      <w:r>
        <w:rPr>
          <w:rFonts w:hint="eastAsia"/>
        </w:rPr>
        <w:t>成果统计表</w:t>
      </w:r>
    </w:p>
    <w:tbl>
      <w:tblPr>
        <w:tblStyle w:val="11"/>
        <w:tblW w:w="8742" w:type="dxa"/>
        <w:tblInd w:w="0" w:type="dxa"/>
        <w:tblLayout w:type="fixed"/>
        <w:tblCellMar>
          <w:top w:w="0" w:type="dxa"/>
          <w:left w:w="108" w:type="dxa"/>
          <w:bottom w:w="0" w:type="dxa"/>
          <w:right w:w="108" w:type="dxa"/>
        </w:tblCellMar>
      </w:tblPr>
      <w:tblGrid>
        <w:gridCol w:w="1422"/>
        <w:gridCol w:w="1185"/>
        <w:gridCol w:w="1353"/>
        <w:gridCol w:w="969"/>
        <w:gridCol w:w="1096"/>
        <w:gridCol w:w="1313"/>
        <w:gridCol w:w="1404"/>
      </w:tblGrid>
      <w:tr>
        <w:tblPrEx>
          <w:tblLayout w:type="fixed"/>
          <w:tblCellMar>
            <w:top w:w="0" w:type="dxa"/>
            <w:left w:w="108" w:type="dxa"/>
            <w:bottom w:w="0" w:type="dxa"/>
            <w:right w:w="108" w:type="dxa"/>
          </w:tblCellMar>
        </w:tblPrEx>
        <w:trPr>
          <w:trHeight w:val="655" w:hRule="atLeast"/>
          <w:tblHeader/>
        </w:trPr>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211" w:firstLineChars="100"/>
              <w:rPr>
                <w:rFonts w:ascii="仿宋_GB2312" w:cs="Times New Roman"/>
                <w:b/>
                <w:bCs/>
                <w:kern w:val="0"/>
                <w:sz w:val="21"/>
                <w:szCs w:val="21"/>
              </w:rPr>
            </w:pPr>
            <w:r>
              <w:rPr>
                <w:rFonts w:hint="eastAsia" w:ascii="仿宋_GB2312" w:cs="Times New Roman"/>
                <w:b/>
                <w:bCs/>
                <w:kern w:val="0"/>
                <w:sz w:val="21"/>
                <w:szCs w:val="21"/>
              </w:rPr>
              <w:t>工程名称</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cs="Times New Roman"/>
                <w:b/>
                <w:bCs/>
                <w:kern w:val="0"/>
                <w:sz w:val="21"/>
                <w:szCs w:val="21"/>
              </w:rPr>
            </w:pPr>
            <w:r>
              <w:rPr>
                <w:rFonts w:hint="eastAsia" w:ascii="仿宋_GB2312" w:cs="Times New Roman"/>
                <w:b/>
                <w:bCs/>
                <w:kern w:val="0"/>
                <w:sz w:val="21"/>
                <w:szCs w:val="21"/>
              </w:rPr>
              <w:t>管理范围线（千米）</w:t>
            </w:r>
          </w:p>
        </w:tc>
        <w:tc>
          <w:tcPr>
            <w:tcW w:w="135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cs="Times New Roman"/>
                <w:b/>
                <w:bCs/>
                <w:kern w:val="0"/>
                <w:sz w:val="21"/>
                <w:szCs w:val="21"/>
              </w:rPr>
            </w:pPr>
            <w:r>
              <w:rPr>
                <w:rFonts w:hint="eastAsia" w:ascii="仿宋_GB2312" w:cs="Times New Roman"/>
                <w:b/>
                <w:bCs/>
                <w:kern w:val="0"/>
                <w:sz w:val="21"/>
                <w:szCs w:val="21"/>
              </w:rPr>
              <w:t>保护范围线(千米)</w:t>
            </w:r>
          </w:p>
        </w:tc>
        <w:tc>
          <w:tcPr>
            <w:tcW w:w="96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cs="Times New Roman"/>
                <w:b/>
                <w:bCs/>
                <w:kern w:val="0"/>
                <w:sz w:val="21"/>
                <w:szCs w:val="21"/>
              </w:rPr>
            </w:pPr>
            <w:r>
              <w:rPr>
                <w:rFonts w:hint="eastAsia" w:ascii="仿宋_GB2312" w:cs="Times New Roman"/>
                <w:b/>
                <w:bCs/>
                <w:kern w:val="0"/>
                <w:sz w:val="21"/>
                <w:szCs w:val="21"/>
              </w:rPr>
              <w:t>界桩（个）</w:t>
            </w:r>
          </w:p>
        </w:tc>
        <w:tc>
          <w:tcPr>
            <w:tcW w:w="10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cs="Times New Roman"/>
                <w:b/>
                <w:bCs/>
                <w:kern w:val="0"/>
                <w:sz w:val="21"/>
                <w:szCs w:val="21"/>
              </w:rPr>
            </w:pPr>
            <w:r>
              <w:rPr>
                <w:rFonts w:hint="eastAsia" w:ascii="仿宋_GB2312" w:cs="Times New Roman"/>
                <w:b/>
                <w:bCs/>
                <w:kern w:val="0"/>
                <w:sz w:val="21"/>
                <w:szCs w:val="21"/>
              </w:rPr>
              <w:t>告示牌（个）</w:t>
            </w:r>
          </w:p>
        </w:tc>
        <w:tc>
          <w:tcPr>
            <w:tcW w:w="131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cs="Times New Roman"/>
                <w:b/>
                <w:bCs/>
                <w:kern w:val="0"/>
                <w:sz w:val="21"/>
                <w:szCs w:val="21"/>
              </w:rPr>
            </w:pPr>
            <w:r>
              <w:rPr>
                <w:rFonts w:hint="eastAsia" w:ascii="仿宋_GB2312" w:cs="Times New Roman"/>
                <w:b/>
                <w:bCs/>
                <w:kern w:val="0"/>
                <w:sz w:val="21"/>
                <w:szCs w:val="21"/>
              </w:rPr>
              <w:t>管理范围面    (亩）</w:t>
            </w:r>
          </w:p>
        </w:tc>
        <w:tc>
          <w:tcPr>
            <w:tcW w:w="140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cs="Times New Roman"/>
                <w:b/>
                <w:bCs/>
                <w:kern w:val="0"/>
                <w:sz w:val="21"/>
                <w:szCs w:val="21"/>
              </w:rPr>
            </w:pPr>
            <w:r>
              <w:rPr>
                <w:rFonts w:hint="eastAsia" w:ascii="仿宋_GB2312" w:cs="Times New Roman"/>
                <w:b/>
                <w:bCs/>
                <w:kern w:val="0"/>
                <w:sz w:val="21"/>
                <w:szCs w:val="21"/>
              </w:rPr>
              <w:t>保护范围面（亩）</w:t>
            </w:r>
          </w:p>
        </w:tc>
      </w:tr>
      <w:tr>
        <w:tblPrEx>
          <w:tblLayout w:type="fixed"/>
          <w:tblCellMar>
            <w:top w:w="0" w:type="dxa"/>
            <w:left w:w="108" w:type="dxa"/>
            <w:bottom w:w="0" w:type="dxa"/>
            <w:right w:w="108" w:type="dxa"/>
          </w:tblCellMar>
        </w:tblPrEx>
        <w:trPr>
          <w:trHeight w:val="315" w:hRule="atLeast"/>
        </w:trPr>
        <w:tc>
          <w:tcPr>
            <w:tcW w:w="142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auto"/>
                <w:kern w:val="0"/>
                <w:sz w:val="21"/>
                <w:szCs w:val="21"/>
              </w:rPr>
            </w:pPr>
            <w:r>
              <w:rPr>
                <w:rFonts w:hint="eastAsia" w:eastAsia="宋体" w:cs="Times New Roman"/>
                <w:color w:val="auto"/>
                <w:kern w:val="0"/>
                <w:sz w:val="21"/>
                <w:szCs w:val="21"/>
              </w:rPr>
              <w:t>朝阳</w:t>
            </w:r>
            <w:r>
              <w:rPr>
                <w:rFonts w:eastAsia="宋体" w:cs="Times New Roman"/>
                <w:color w:val="auto"/>
                <w:kern w:val="0"/>
                <w:sz w:val="21"/>
                <w:szCs w:val="21"/>
              </w:rPr>
              <w:t>水库</w:t>
            </w:r>
          </w:p>
        </w:tc>
        <w:tc>
          <w:tcPr>
            <w:tcW w:w="11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lang w:val="en-US" w:eastAsia="zh-CN"/>
              </w:rPr>
            </w:pPr>
            <w:r>
              <w:rPr>
                <w:rFonts w:hint="default" w:ascii="Times New Roman" w:hAnsi="Times New Roman" w:eastAsia="宋体" w:cs="Times New Roman"/>
                <w:i w:val="0"/>
                <w:color w:val="000000"/>
                <w:kern w:val="0"/>
                <w:sz w:val="22"/>
                <w:szCs w:val="22"/>
                <w:u w:val="none"/>
                <w:lang w:val="en-US" w:eastAsia="zh-CN" w:bidi="ar"/>
              </w:rPr>
              <w:t>2</w:t>
            </w:r>
            <w:r>
              <w:rPr>
                <w:rFonts w:hint="eastAsia" w:eastAsia="宋体" w:cs="Times New Roman"/>
                <w:i w:val="0"/>
                <w:color w:val="000000"/>
                <w:kern w:val="0"/>
                <w:sz w:val="22"/>
                <w:szCs w:val="22"/>
                <w:u w:val="none"/>
                <w:lang w:val="en-US" w:eastAsia="zh-CN" w:bidi="ar"/>
              </w:rPr>
              <w:t>2.06</w:t>
            </w:r>
          </w:p>
        </w:tc>
        <w:tc>
          <w:tcPr>
            <w:tcW w:w="13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lang w:val="en-US" w:eastAsia="zh-CN"/>
              </w:rPr>
            </w:pPr>
            <w:r>
              <w:rPr>
                <w:rFonts w:hint="default" w:ascii="Times New Roman" w:hAnsi="Times New Roman" w:eastAsia="宋体" w:cs="Times New Roman"/>
                <w:i w:val="0"/>
                <w:color w:val="000000"/>
                <w:kern w:val="0"/>
                <w:sz w:val="22"/>
                <w:szCs w:val="22"/>
                <w:u w:val="none"/>
                <w:lang w:val="en-US" w:eastAsia="zh-CN" w:bidi="ar"/>
              </w:rPr>
              <w:t>20.</w:t>
            </w:r>
            <w:r>
              <w:rPr>
                <w:rFonts w:hint="eastAsia" w:eastAsia="宋体" w:cs="Times New Roman"/>
                <w:i w:val="0"/>
                <w:color w:val="000000"/>
                <w:kern w:val="0"/>
                <w:sz w:val="22"/>
                <w:szCs w:val="22"/>
                <w:u w:val="none"/>
                <w:lang w:val="en-US" w:eastAsia="zh-CN" w:bidi="ar"/>
              </w:rPr>
              <w:t>21</w:t>
            </w:r>
          </w:p>
        </w:tc>
        <w:tc>
          <w:tcPr>
            <w:tcW w:w="9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yellow"/>
                <w:lang w:val="en-US" w:eastAsia="zh-CN"/>
              </w:rPr>
            </w:pPr>
            <w:r>
              <w:rPr>
                <w:rFonts w:hint="default" w:ascii="Times New Roman" w:hAnsi="Times New Roman" w:eastAsia="宋体" w:cs="Times New Roman"/>
                <w:i w:val="0"/>
                <w:color w:val="000000"/>
                <w:kern w:val="0"/>
                <w:sz w:val="22"/>
                <w:szCs w:val="22"/>
                <w:u w:val="none"/>
                <w:lang w:val="en-US" w:eastAsia="zh-CN" w:bidi="ar"/>
              </w:rPr>
              <w:t>223</w:t>
            </w:r>
          </w:p>
        </w:tc>
        <w:tc>
          <w:tcPr>
            <w:tcW w:w="10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rPr>
            </w:pPr>
            <w:r>
              <w:rPr>
                <w:rFonts w:hint="default" w:ascii="Times New Roman" w:hAnsi="Times New Roman" w:eastAsia="宋体" w:cs="Times New Roman"/>
                <w:i w:val="0"/>
                <w:color w:val="000000"/>
                <w:kern w:val="0"/>
                <w:sz w:val="22"/>
                <w:szCs w:val="22"/>
                <w:u w:val="none"/>
                <w:lang w:val="en-US" w:eastAsia="zh-CN" w:bidi="ar"/>
              </w:rPr>
              <w:t>9</w:t>
            </w:r>
          </w:p>
        </w:tc>
        <w:tc>
          <w:tcPr>
            <w:tcW w:w="13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lang w:val="en-US" w:eastAsia="zh-CN"/>
              </w:rPr>
            </w:pPr>
            <w:r>
              <w:rPr>
                <w:rFonts w:hint="default" w:ascii="Times New Roman" w:hAnsi="Times New Roman" w:eastAsia="宋体" w:cs="Times New Roman"/>
                <w:i w:val="0"/>
                <w:color w:val="000000"/>
                <w:kern w:val="0"/>
                <w:sz w:val="22"/>
                <w:szCs w:val="22"/>
                <w:u w:val="none"/>
                <w:lang w:val="en-US" w:eastAsia="zh-CN" w:bidi="ar"/>
              </w:rPr>
              <w:t>361</w:t>
            </w:r>
            <w:r>
              <w:rPr>
                <w:rFonts w:hint="eastAsia" w:eastAsia="宋体" w:cs="Times New Roman"/>
                <w:i w:val="0"/>
                <w:color w:val="000000"/>
                <w:kern w:val="0"/>
                <w:sz w:val="22"/>
                <w:szCs w:val="22"/>
                <w:u w:val="none"/>
                <w:lang w:val="en-US" w:eastAsia="zh-CN" w:bidi="ar"/>
              </w:rPr>
              <w:t>6.07</w:t>
            </w:r>
          </w:p>
        </w:tc>
        <w:tc>
          <w:tcPr>
            <w:tcW w:w="14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lang w:val="en-US" w:eastAsia="zh-CN"/>
              </w:rPr>
            </w:pPr>
            <w:r>
              <w:rPr>
                <w:rFonts w:hint="default" w:ascii="Times New Roman" w:hAnsi="Times New Roman" w:eastAsia="宋体" w:cs="Times New Roman"/>
                <w:i w:val="0"/>
                <w:color w:val="000000"/>
                <w:kern w:val="0"/>
                <w:sz w:val="22"/>
                <w:szCs w:val="22"/>
                <w:u w:val="none"/>
                <w:lang w:val="en-US" w:eastAsia="zh-CN" w:bidi="ar"/>
              </w:rPr>
              <w:t>8</w:t>
            </w:r>
            <w:r>
              <w:rPr>
                <w:rFonts w:hint="eastAsia" w:eastAsia="宋体" w:cs="Times New Roman"/>
                <w:i w:val="0"/>
                <w:color w:val="000000"/>
                <w:kern w:val="0"/>
                <w:sz w:val="22"/>
                <w:szCs w:val="22"/>
                <w:u w:val="none"/>
                <w:lang w:val="en-US" w:eastAsia="zh-CN" w:bidi="ar"/>
              </w:rPr>
              <w:t>01.60</w:t>
            </w:r>
          </w:p>
        </w:tc>
      </w:tr>
      <w:tr>
        <w:tblPrEx>
          <w:tblLayout w:type="fixed"/>
          <w:tblCellMar>
            <w:top w:w="0" w:type="dxa"/>
            <w:left w:w="108" w:type="dxa"/>
            <w:bottom w:w="0" w:type="dxa"/>
            <w:right w:w="108" w:type="dxa"/>
          </w:tblCellMar>
        </w:tblPrEx>
        <w:trPr>
          <w:trHeight w:val="315" w:hRule="atLeast"/>
        </w:trPr>
        <w:tc>
          <w:tcPr>
            <w:tcW w:w="142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auto"/>
                <w:kern w:val="0"/>
                <w:sz w:val="21"/>
                <w:szCs w:val="21"/>
              </w:rPr>
            </w:pPr>
            <w:r>
              <w:rPr>
                <w:rFonts w:hint="eastAsia" w:eastAsia="宋体" w:cs="Times New Roman"/>
                <w:color w:val="auto"/>
                <w:kern w:val="0"/>
                <w:sz w:val="21"/>
                <w:szCs w:val="21"/>
              </w:rPr>
              <w:t>板凳坡</w:t>
            </w:r>
            <w:r>
              <w:rPr>
                <w:rFonts w:eastAsia="宋体" w:cs="Times New Roman"/>
                <w:color w:val="auto"/>
                <w:kern w:val="0"/>
                <w:sz w:val="21"/>
                <w:szCs w:val="21"/>
              </w:rPr>
              <w:t>水库</w:t>
            </w:r>
          </w:p>
        </w:tc>
        <w:tc>
          <w:tcPr>
            <w:tcW w:w="11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yellow"/>
                <w:lang w:eastAsia="zh-CN"/>
              </w:rPr>
            </w:pPr>
            <w:r>
              <w:rPr>
                <w:rFonts w:hint="default" w:ascii="Times New Roman" w:hAnsi="Times New Roman" w:eastAsia="宋体" w:cs="Times New Roman"/>
                <w:i w:val="0"/>
                <w:color w:val="000000"/>
                <w:kern w:val="0"/>
                <w:sz w:val="22"/>
                <w:szCs w:val="22"/>
                <w:u w:val="none"/>
                <w:lang w:val="en-US" w:eastAsia="zh-CN" w:bidi="ar"/>
              </w:rPr>
              <w:t>9.59</w:t>
            </w:r>
          </w:p>
        </w:tc>
        <w:tc>
          <w:tcPr>
            <w:tcW w:w="13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yellow"/>
              </w:rPr>
            </w:pPr>
            <w:r>
              <w:rPr>
                <w:rFonts w:hint="default" w:ascii="Times New Roman" w:hAnsi="Times New Roman" w:eastAsia="宋体" w:cs="Times New Roman"/>
                <w:i w:val="0"/>
                <w:color w:val="000000"/>
                <w:kern w:val="0"/>
                <w:sz w:val="22"/>
                <w:szCs w:val="22"/>
                <w:u w:val="none"/>
                <w:lang w:val="en-US" w:eastAsia="zh-CN" w:bidi="ar"/>
              </w:rPr>
              <w:t>8.45</w:t>
            </w:r>
          </w:p>
        </w:tc>
        <w:tc>
          <w:tcPr>
            <w:tcW w:w="9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yellow"/>
                <w:lang w:val="en-US" w:eastAsia="zh-CN"/>
              </w:rPr>
            </w:pPr>
            <w:r>
              <w:rPr>
                <w:rFonts w:hint="default" w:ascii="Times New Roman" w:hAnsi="Times New Roman" w:eastAsia="宋体" w:cs="Times New Roman"/>
                <w:i w:val="0"/>
                <w:color w:val="000000"/>
                <w:kern w:val="0"/>
                <w:sz w:val="22"/>
                <w:szCs w:val="22"/>
                <w:u w:val="none"/>
                <w:lang w:val="en-US" w:eastAsia="zh-CN" w:bidi="ar"/>
              </w:rPr>
              <w:t>76</w:t>
            </w:r>
          </w:p>
        </w:tc>
        <w:tc>
          <w:tcPr>
            <w:tcW w:w="10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rPr>
            </w:pPr>
            <w:r>
              <w:rPr>
                <w:rFonts w:hint="default" w:ascii="Times New Roman" w:hAnsi="Times New Roman" w:eastAsia="宋体" w:cs="Times New Roman"/>
                <w:i w:val="0"/>
                <w:color w:val="000000"/>
                <w:kern w:val="0"/>
                <w:sz w:val="22"/>
                <w:szCs w:val="22"/>
                <w:u w:val="none"/>
                <w:lang w:val="en-US" w:eastAsia="zh-CN" w:bidi="ar"/>
              </w:rPr>
              <w:t>6</w:t>
            </w:r>
          </w:p>
        </w:tc>
        <w:tc>
          <w:tcPr>
            <w:tcW w:w="13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yellow"/>
                <w:lang w:val="en-US" w:eastAsia="zh-CN"/>
              </w:rPr>
            </w:pPr>
            <w:r>
              <w:rPr>
                <w:rFonts w:hint="default" w:ascii="Times New Roman" w:hAnsi="Times New Roman" w:eastAsia="宋体" w:cs="Times New Roman"/>
                <w:i w:val="0"/>
                <w:color w:val="000000"/>
                <w:kern w:val="0"/>
                <w:sz w:val="22"/>
                <w:szCs w:val="22"/>
                <w:u w:val="none"/>
                <w:lang w:val="en-US" w:eastAsia="zh-CN" w:bidi="ar"/>
              </w:rPr>
              <w:t>349.41</w:t>
            </w:r>
          </w:p>
        </w:tc>
        <w:tc>
          <w:tcPr>
            <w:tcW w:w="14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yellow"/>
                <w:lang w:val="en-US" w:eastAsia="zh-CN"/>
              </w:rPr>
            </w:pPr>
            <w:r>
              <w:rPr>
                <w:rFonts w:hint="default" w:ascii="Times New Roman" w:hAnsi="Times New Roman" w:eastAsia="宋体" w:cs="Times New Roman"/>
                <w:i w:val="0"/>
                <w:color w:val="000000"/>
                <w:kern w:val="0"/>
                <w:sz w:val="22"/>
                <w:szCs w:val="22"/>
                <w:u w:val="none"/>
                <w:lang w:val="en-US" w:eastAsia="zh-CN" w:bidi="ar"/>
              </w:rPr>
              <w:t>323.08</w:t>
            </w:r>
          </w:p>
        </w:tc>
      </w:tr>
      <w:tr>
        <w:tblPrEx>
          <w:tblLayout w:type="fixed"/>
          <w:tblCellMar>
            <w:top w:w="0" w:type="dxa"/>
            <w:left w:w="108" w:type="dxa"/>
            <w:bottom w:w="0" w:type="dxa"/>
            <w:right w:w="108" w:type="dxa"/>
          </w:tblCellMar>
        </w:tblPrEx>
        <w:trPr>
          <w:trHeight w:val="379" w:hRule="atLeast"/>
        </w:trPr>
        <w:tc>
          <w:tcPr>
            <w:tcW w:w="142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auto"/>
                <w:kern w:val="0"/>
                <w:sz w:val="21"/>
                <w:szCs w:val="21"/>
              </w:rPr>
            </w:pPr>
            <w:r>
              <w:rPr>
                <w:rFonts w:hint="eastAsia" w:eastAsia="宋体" w:cs="Times New Roman"/>
                <w:color w:val="auto"/>
                <w:kern w:val="0"/>
                <w:sz w:val="21"/>
                <w:szCs w:val="21"/>
              </w:rPr>
              <w:t>姑召</w:t>
            </w:r>
            <w:r>
              <w:rPr>
                <w:rFonts w:eastAsia="宋体" w:cs="Times New Roman"/>
                <w:color w:val="auto"/>
                <w:kern w:val="0"/>
                <w:sz w:val="21"/>
                <w:szCs w:val="21"/>
              </w:rPr>
              <w:t>水库</w:t>
            </w:r>
          </w:p>
        </w:tc>
        <w:tc>
          <w:tcPr>
            <w:tcW w:w="11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rPr>
            </w:pPr>
            <w:r>
              <w:rPr>
                <w:rFonts w:hint="default" w:ascii="Times New Roman" w:hAnsi="Times New Roman" w:eastAsia="宋体" w:cs="Times New Roman"/>
                <w:i w:val="0"/>
                <w:color w:val="000000"/>
                <w:kern w:val="0"/>
                <w:sz w:val="22"/>
                <w:szCs w:val="22"/>
                <w:u w:val="none"/>
                <w:lang w:val="en-US" w:eastAsia="zh-CN" w:bidi="ar"/>
              </w:rPr>
              <w:t>9.36</w:t>
            </w:r>
          </w:p>
        </w:tc>
        <w:tc>
          <w:tcPr>
            <w:tcW w:w="13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rPr>
            </w:pPr>
            <w:r>
              <w:rPr>
                <w:rFonts w:hint="default" w:ascii="Times New Roman" w:hAnsi="Times New Roman" w:eastAsia="宋体" w:cs="Times New Roman"/>
                <w:i w:val="0"/>
                <w:color w:val="000000"/>
                <w:kern w:val="0"/>
                <w:sz w:val="22"/>
                <w:szCs w:val="22"/>
                <w:u w:val="none"/>
                <w:lang w:val="en-US" w:eastAsia="zh-CN" w:bidi="ar"/>
              </w:rPr>
              <w:t>8.64</w:t>
            </w:r>
          </w:p>
        </w:tc>
        <w:tc>
          <w:tcPr>
            <w:tcW w:w="9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yellow"/>
                <w:lang w:val="en-US" w:eastAsia="zh-CN"/>
              </w:rPr>
            </w:pPr>
            <w:r>
              <w:rPr>
                <w:rFonts w:hint="default" w:ascii="Times New Roman" w:hAnsi="Times New Roman" w:eastAsia="宋体" w:cs="Times New Roman"/>
                <w:i w:val="0"/>
                <w:color w:val="000000"/>
                <w:kern w:val="0"/>
                <w:sz w:val="22"/>
                <w:szCs w:val="22"/>
                <w:u w:val="none"/>
                <w:lang w:val="en-US" w:eastAsia="zh-CN" w:bidi="ar"/>
              </w:rPr>
              <w:t>106</w:t>
            </w:r>
          </w:p>
        </w:tc>
        <w:tc>
          <w:tcPr>
            <w:tcW w:w="10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rPr>
            </w:pPr>
            <w:r>
              <w:rPr>
                <w:rFonts w:hint="default" w:ascii="Times New Roman" w:hAnsi="Times New Roman" w:eastAsia="宋体" w:cs="Times New Roman"/>
                <w:i w:val="0"/>
                <w:color w:val="000000"/>
                <w:kern w:val="0"/>
                <w:sz w:val="22"/>
                <w:szCs w:val="22"/>
                <w:u w:val="none"/>
                <w:lang w:val="en-US" w:eastAsia="zh-CN" w:bidi="ar"/>
              </w:rPr>
              <w:t>4</w:t>
            </w:r>
          </w:p>
        </w:tc>
        <w:tc>
          <w:tcPr>
            <w:tcW w:w="13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rPr>
            </w:pPr>
            <w:r>
              <w:rPr>
                <w:rFonts w:hint="default" w:ascii="Times New Roman" w:hAnsi="Times New Roman" w:eastAsia="宋体" w:cs="Times New Roman"/>
                <w:i w:val="0"/>
                <w:color w:val="000000"/>
                <w:kern w:val="0"/>
                <w:sz w:val="22"/>
                <w:szCs w:val="22"/>
                <w:u w:val="none"/>
                <w:lang w:val="en-US" w:eastAsia="zh-CN" w:bidi="ar"/>
              </w:rPr>
              <w:t>439.73</w:t>
            </w:r>
          </w:p>
        </w:tc>
        <w:tc>
          <w:tcPr>
            <w:tcW w:w="14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rPr>
            </w:pPr>
            <w:r>
              <w:rPr>
                <w:rFonts w:hint="default" w:ascii="Times New Roman" w:hAnsi="Times New Roman" w:eastAsia="宋体" w:cs="Times New Roman"/>
                <w:i w:val="0"/>
                <w:color w:val="000000"/>
                <w:kern w:val="0"/>
                <w:sz w:val="22"/>
                <w:szCs w:val="22"/>
                <w:u w:val="none"/>
                <w:lang w:val="en-US" w:eastAsia="zh-CN" w:bidi="ar"/>
              </w:rPr>
              <w:t>317.33</w:t>
            </w:r>
          </w:p>
        </w:tc>
      </w:tr>
      <w:tr>
        <w:tblPrEx>
          <w:tblLayout w:type="fixed"/>
          <w:tblCellMar>
            <w:top w:w="0" w:type="dxa"/>
            <w:left w:w="108" w:type="dxa"/>
            <w:bottom w:w="0" w:type="dxa"/>
            <w:right w:w="108" w:type="dxa"/>
          </w:tblCellMar>
        </w:tblPrEx>
        <w:trPr>
          <w:trHeight w:val="315" w:hRule="atLeast"/>
        </w:trPr>
        <w:tc>
          <w:tcPr>
            <w:tcW w:w="142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auto"/>
                <w:kern w:val="0"/>
                <w:sz w:val="21"/>
                <w:szCs w:val="21"/>
              </w:rPr>
            </w:pPr>
            <w:r>
              <w:rPr>
                <w:rFonts w:hint="eastAsia" w:eastAsia="宋体" w:cs="Times New Roman"/>
                <w:color w:val="auto"/>
                <w:kern w:val="0"/>
                <w:sz w:val="21"/>
                <w:szCs w:val="21"/>
              </w:rPr>
              <w:t>半溪</w:t>
            </w:r>
            <w:r>
              <w:rPr>
                <w:rFonts w:eastAsia="宋体" w:cs="Times New Roman"/>
                <w:color w:val="auto"/>
                <w:kern w:val="0"/>
                <w:sz w:val="21"/>
                <w:szCs w:val="21"/>
              </w:rPr>
              <w:t>水库</w:t>
            </w:r>
          </w:p>
        </w:tc>
        <w:tc>
          <w:tcPr>
            <w:tcW w:w="11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rPr>
            </w:pPr>
            <w:r>
              <w:rPr>
                <w:rFonts w:hint="default" w:ascii="Times New Roman" w:hAnsi="Times New Roman" w:eastAsia="宋体" w:cs="Times New Roman"/>
                <w:i w:val="0"/>
                <w:color w:val="000000"/>
                <w:kern w:val="0"/>
                <w:sz w:val="22"/>
                <w:szCs w:val="22"/>
                <w:u w:val="none"/>
                <w:lang w:val="en-US" w:eastAsia="zh-CN" w:bidi="ar"/>
              </w:rPr>
              <w:t>3.14</w:t>
            </w:r>
          </w:p>
        </w:tc>
        <w:tc>
          <w:tcPr>
            <w:tcW w:w="13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lang w:eastAsia="zh-CN"/>
              </w:rPr>
            </w:pPr>
            <w:r>
              <w:rPr>
                <w:rFonts w:hint="default" w:ascii="Times New Roman" w:hAnsi="Times New Roman" w:eastAsia="宋体" w:cs="Times New Roman"/>
                <w:i w:val="0"/>
                <w:color w:val="000000"/>
                <w:kern w:val="0"/>
                <w:sz w:val="22"/>
                <w:szCs w:val="22"/>
                <w:u w:val="none"/>
                <w:lang w:val="en-US" w:eastAsia="zh-CN" w:bidi="ar"/>
              </w:rPr>
              <w:t>3.29</w:t>
            </w:r>
          </w:p>
        </w:tc>
        <w:tc>
          <w:tcPr>
            <w:tcW w:w="9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yellow"/>
                <w:lang w:val="en-US" w:eastAsia="zh-CN"/>
              </w:rPr>
            </w:pPr>
            <w:r>
              <w:rPr>
                <w:rFonts w:hint="default" w:ascii="Times New Roman" w:hAnsi="Times New Roman" w:eastAsia="宋体" w:cs="Times New Roman"/>
                <w:i w:val="0"/>
                <w:color w:val="000000"/>
                <w:kern w:val="0"/>
                <w:sz w:val="22"/>
                <w:szCs w:val="22"/>
                <w:u w:val="none"/>
                <w:lang w:val="en-US" w:eastAsia="zh-CN" w:bidi="ar"/>
              </w:rPr>
              <w:t>50</w:t>
            </w:r>
          </w:p>
        </w:tc>
        <w:tc>
          <w:tcPr>
            <w:tcW w:w="10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rPr>
            </w:pPr>
            <w:r>
              <w:rPr>
                <w:rFonts w:hint="default" w:ascii="Times New Roman" w:hAnsi="Times New Roman" w:eastAsia="宋体" w:cs="Times New Roman"/>
                <w:i w:val="0"/>
                <w:color w:val="000000"/>
                <w:kern w:val="0"/>
                <w:sz w:val="22"/>
                <w:szCs w:val="22"/>
                <w:u w:val="none"/>
                <w:lang w:val="en-US" w:eastAsia="zh-CN" w:bidi="ar"/>
              </w:rPr>
              <w:t>2</w:t>
            </w:r>
          </w:p>
        </w:tc>
        <w:tc>
          <w:tcPr>
            <w:tcW w:w="13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lang w:val="en-US" w:eastAsia="zh-CN"/>
              </w:rPr>
            </w:pPr>
            <w:r>
              <w:rPr>
                <w:rFonts w:hint="default" w:ascii="Times New Roman" w:hAnsi="Times New Roman" w:eastAsia="宋体" w:cs="Times New Roman"/>
                <w:i w:val="0"/>
                <w:color w:val="000000"/>
                <w:kern w:val="0"/>
                <w:sz w:val="22"/>
                <w:szCs w:val="22"/>
                <w:u w:val="none"/>
                <w:lang w:val="en-US" w:eastAsia="zh-CN" w:bidi="ar"/>
              </w:rPr>
              <w:t>174.</w:t>
            </w:r>
            <w:r>
              <w:rPr>
                <w:rFonts w:hint="eastAsia" w:eastAsia="宋体" w:cs="Times New Roman"/>
                <w:i w:val="0"/>
                <w:color w:val="000000"/>
                <w:kern w:val="0"/>
                <w:sz w:val="22"/>
                <w:szCs w:val="22"/>
                <w:u w:val="none"/>
                <w:lang w:val="en-US" w:eastAsia="zh-CN" w:bidi="ar"/>
              </w:rPr>
              <w:t>18</w:t>
            </w:r>
          </w:p>
        </w:tc>
        <w:tc>
          <w:tcPr>
            <w:tcW w:w="14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lang w:val="en-US" w:eastAsia="zh-CN"/>
              </w:rPr>
            </w:pPr>
            <w:r>
              <w:rPr>
                <w:rFonts w:hint="default" w:ascii="Times New Roman" w:hAnsi="Times New Roman" w:eastAsia="宋体" w:cs="Times New Roman"/>
                <w:i w:val="0"/>
                <w:color w:val="000000"/>
                <w:kern w:val="0"/>
                <w:sz w:val="22"/>
                <w:szCs w:val="22"/>
                <w:u w:val="none"/>
                <w:lang w:val="en-US" w:eastAsia="zh-CN" w:bidi="ar"/>
              </w:rPr>
              <w:t>138.</w:t>
            </w:r>
            <w:r>
              <w:rPr>
                <w:rFonts w:hint="eastAsia" w:eastAsia="宋体" w:cs="Times New Roman"/>
                <w:i w:val="0"/>
                <w:color w:val="000000"/>
                <w:kern w:val="0"/>
                <w:sz w:val="22"/>
                <w:szCs w:val="22"/>
                <w:u w:val="none"/>
                <w:lang w:val="en-US" w:eastAsia="zh-CN" w:bidi="ar"/>
              </w:rPr>
              <w:t>21</w:t>
            </w:r>
          </w:p>
        </w:tc>
      </w:tr>
      <w:tr>
        <w:tblPrEx>
          <w:tblLayout w:type="fixed"/>
          <w:tblCellMar>
            <w:top w:w="0" w:type="dxa"/>
            <w:left w:w="108" w:type="dxa"/>
            <w:bottom w:w="0" w:type="dxa"/>
            <w:right w:w="108" w:type="dxa"/>
          </w:tblCellMar>
        </w:tblPrEx>
        <w:trPr>
          <w:trHeight w:val="315" w:hRule="atLeast"/>
        </w:trPr>
        <w:tc>
          <w:tcPr>
            <w:tcW w:w="142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auto"/>
                <w:kern w:val="0"/>
                <w:sz w:val="21"/>
                <w:szCs w:val="21"/>
              </w:rPr>
            </w:pPr>
            <w:r>
              <w:rPr>
                <w:rFonts w:hint="eastAsia" w:eastAsia="宋体" w:cs="Times New Roman"/>
                <w:color w:val="auto"/>
                <w:kern w:val="0"/>
                <w:sz w:val="21"/>
                <w:szCs w:val="21"/>
              </w:rPr>
              <w:t>杨家坳</w:t>
            </w:r>
            <w:r>
              <w:rPr>
                <w:rFonts w:eastAsia="宋体" w:cs="Times New Roman"/>
                <w:color w:val="auto"/>
                <w:kern w:val="0"/>
                <w:sz w:val="21"/>
                <w:szCs w:val="21"/>
              </w:rPr>
              <w:t>水库</w:t>
            </w:r>
          </w:p>
        </w:tc>
        <w:tc>
          <w:tcPr>
            <w:tcW w:w="11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rPr>
            </w:pPr>
            <w:r>
              <w:rPr>
                <w:rFonts w:hint="default" w:ascii="Times New Roman" w:hAnsi="Times New Roman" w:eastAsia="宋体" w:cs="Times New Roman"/>
                <w:i w:val="0"/>
                <w:color w:val="000000"/>
                <w:kern w:val="0"/>
                <w:sz w:val="22"/>
                <w:szCs w:val="22"/>
                <w:u w:val="none"/>
                <w:lang w:val="en-US" w:eastAsia="zh-CN" w:bidi="ar"/>
              </w:rPr>
              <w:t>4.6</w:t>
            </w:r>
            <w:r>
              <w:rPr>
                <w:rFonts w:hint="eastAsia" w:eastAsia="宋体" w:cs="Times New Roman"/>
                <w:i w:val="0"/>
                <w:color w:val="000000"/>
                <w:kern w:val="0"/>
                <w:sz w:val="22"/>
                <w:szCs w:val="22"/>
                <w:u w:val="none"/>
                <w:lang w:val="en-US" w:eastAsia="zh-CN" w:bidi="ar"/>
              </w:rPr>
              <w:t>7</w:t>
            </w:r>
          </w:p>
        </w:tc>
        <w:tc>
          <w:tcPr>
            <w:tcW w:w="13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rPr>
            </w:pPr>
            <w:r>
              <w:rPr>
                <w:rFonts w:hint="default" w:ascii="Times New Roman" w:hAnsi="Times New Roman" w:eastAsia="宋体" w:cs="Times New Roman"/>
                <w:i w:val="0"/>
                <w:color w:val="000000"/>
                <w:kern w:val="0"/>
                <w:sz w:val="22"/>
                <w:szCs w:val="22"/>
                <w:u w:val="none"/>
                <w:lang w:val="en-US" w:eastAsia="zh-CN" w:bidi="ar"/>
              </w:rPr>
              <w:t xml:space="preserve">4.80 </w:t>
            </w:r>
          </w:p>
        </w:tc>
        <w:tc>
          <w:tcPr>
            <w:tcW w:w="9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yellow"/>
                <w:lang w:val="en-US" w:eastAsia="zh-CN"/>
              </w:rPr>
            </w:pPr>
            <w:r>
              <w:rPr>
                <w:rFonts w:hint="default" w:ascii="Times New Roman" w:hAnsi="Times New Roman" w:eastAsia="宋体" w:cs="Times New Roman"/>
                <w:i w:val="0"/>
                <w:color w:val="000000"/>
                <w:kern w:val="0"/>
                <w:sz w:val="22"/>
                <w:szCs w:val="22"/>
                <w:u w:val="none"/>
                <w:lang w:val="en-US" w:eastAsia="zh-CN" w:bidi="ar"/>
              </w:rPr>
              <w:t>72</w:t>
            </w:r>
          </w:p>
        </w:tc>
        <w:tc>
          <w:tcPr>
            <w:tcW w:w="10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rPr>
            </w:pPr>
            <w:r>
              <w:rPr>
                <w:rFonts w:hint="default" w:ascii="Times New Roman" w:hAnsi="Times New Roman" w:eastAsia="宋体" w:cs="Times New Roman"/>
                <w:i w:val="0"/>
                <w:color w:val="000000"/>
                <w:kern w:val="0"/>
                <w:sz w:val="22"/>
                <w:szCs w:val="22"/>
                <w:u w:val="none"/>
                <w:lang w:val="en-US" w:eastAsia="zh-CN" w:bidi="ar"/>
              </w:rPr>
              <w:t>4</w:t>
            </w:r>
          </w:p>
        </w:tc>
        <w:tc>
          <w:tcPr>
            <w:tcW w:w="13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rPr>
            </w:pPr>
            <w:r>
              <w:rPr>
                <w:rFonts w:hint="default" w:ascii="Times New Roman" w:hAnsi="Times New Roman" w:eastAsia="宋体" w:cs="Times New Roman"/>
                <w:i w:val="0"/>
                <w:color w:val="000000"/>
                <w:kern w:val="0"/>
                <w:sz w:val="22"/>
                <w:szCs w:val="22"/>
                <w:u w:val="none"/>
                <w:lang w:val="en-US" w:eastAsia="zh-CN" w:bidi="ar"/>
              </w:rPr>
              <w:t>281.34</w:t>
            </w:r>
          </w:p>
        </w:tc>
        <w:tc>
          <w:tcPr>
            <w:tcW w:w="14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rPr>
            </w:pPr>
            <w:r>
              <w:rPr>
                <w:rFonts w:hint="default" w:ascii="Times New Roman" w:hAnsi="Times New Roman" w:eastAsia="宋体" w:cs="Times New Roman"/>
                <w:i w:val="0"/>
                <w:color w:val="000000"/>
                <w:kern w:val="0"/>
                <w:sz w:val="22"/>
                <w:szCs w:val="22"/>
                <w:u w:val="none"/>
                <w:lang w:val="en-US" w:eastAsia="zh-CN" w:bidi="ar"/>
              </w:rPr>
              <w:t>199.59</w:t>
            </w:r>
          </w:p>
        </w:tc>
      </w:tr>
      <w:tr>
        <w:tblPrEx>
          <w:tblLayout w:type="fixed"/>
          <w:tblCellMar>
            <w:top w:w="0" w:type="dxa"/>
            <w:left w:w="108" w:type="dxa"/>
            <w:bottom w:w="0" w:type="dxa"/>
            <w:right w:w="108" w:type="dxa"/>
          </w:tblCellMar>
        </w:tblPrEx>
        <w:trPr>
          <w:trHeight w:val="315" w:hRule="atLeast"/>
        </w:trPr>
        <w:tc>
          <w:tcPr>
            <w:tcW w:w="142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auto"/>
                <w:kern w:val="0"/>
                <w:sz w:val="21"/>
                <w:szCs w:val="21"/>
              </w:rPr>
            </w:pPr>
            <w:r>
              <w:rPr>
                <w:rFonts w:hint="eastAsia" w:eastAsia="宋体" w:cs="Times New Roman"/>
                <w:color w:val="auto"/>
                <w:kern w:val="0"/>
                <w:sz w:val="21"/>
                <w:szCs w:val="21"/>
              </w:rPr>
              <w:t>刘坪</w:t>
            </w:r>
            <w:r>
              <w:rPr>
                <w:rFonts w:eastAsia="宋体" w:cs="Times New Roman"/>
                <w:color w:val="auto"/>
                <w:kern w:val="0"/>
                <w:sz w:val="21"/>
                <w:szCs w:val="21"/>
              </w:rPr>
              <w:t>水库</w:t>
            </w:r>
          </w:p>
        </w:tc>
        <w:tc>
          <w:tcPr>
            <w:tcW w:w="11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lang w:eastAsia="zh-CN"/>
              </w:rPr>
            </w:pPr>
            <w:r>
              <w:rPr>
                <w:rFonts w:hint="eastAsia" w:eastAsia="宋体" w:cs="Times New Roman"/>
                <w:i w:val="0"/>
                <w:color w:val="000000"/>
                <w:kern w:val="0"/>
                <w:sz w:val="22"/>
                <w:szCs w:val="22"/>
                <w:u w:val="none"/>
                <w:lang w:val="en-US" w:eastAsia="zh-CN" w:bidi="ar"/>
              </w:rPr>
              <w:t>2.98</w:t>
            </w:r>
          </w:p>
        </w:tc>
        <w:tc>
          <w:tcPr>
            <w:tcW w:w="13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rPr>
            </w:pPr>
            <w:r>
              <w:rPr>
                <w:rFonts w:hint="default" w:ascii="Times New Roman" w:hAnsi="Times New Roman" w:eastAsia="宋体" w:cs="Times New Roman"/>
                <w:i w:val="0"/>
                <w:color w:val="000000"/>
                <w:kern w:val="0"/>
                <w:sz w:val="22"/>
                <w:szCs w:val="22"/>
                <w:u w:val="none"/>
                <w:lang w:val="en-US" w:eastAsia="zh-CN" w:bidi="ar"/>
              </w:rPr>
              <w:t>2.96</w:t>
            </w:r>
          </w:p>
        </w:tc>
        <w:tc>
          <w:tcPr>
            <w:tcW w:w="9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yellow"/>
                <w:lang w:val="en-US" w:eastAsia="zh-CN"/>
              </w:rPr>
            </w:pPr>
            <w:r>
              <w:rPr>
                <w:rFonts w:hint="default" w:ascii="Times New Roman" w:hAnsi="Times New Roman" w:eastAsia="宋体" w:cs="Times New Roman"/>
                <w:i w:val="0"/>
                <w:color w:val="000000"/>
                <w:kern w:val="0"/>
                <w:sz w:val="22"/>
                <w:szCs w:val="22"/>
                <w:u w:val="none"/>
                <w:lang w:val="en-US" w:eastAsia="zh-CN" w:bidi="ar"/>
              </w:rPr>
              <w:t>54</w:t>
            </w:r>
          </w:p>
        </w:tc>
        <w:tc>
          <w:tcPr>
            <w:tcW w:w="10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rPr>
            </w:pPr>
            <w:r>
              <w:rPr>
                <w:rFonts w:hint="default" w:ascii="Times New Roman" w:hAnsi="Times New Roman" w:eastAsia="宋体" w:cs="Times New Roman"/>
                <w:i w:val="0"/>
                <w:color w:val="000000"/>
                <w:kern w:val="0"/>
                <w:sz w:val="22"/>
                <w:szCs w:val="22"/>
                <w:u w:val="none"/>
                <w:lang w:val="en-US" w:eastAsia="zh-CN" w:bidi="ar"/>
              </w:rPr>
              <w:t>2</w:t>
            </w:r>
          </w:p>
        </w:tc>
        <w:tc>
          <w:tcPr>
            <w:tcW w:w="13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lang w:val="en-US" w:eastAsia="zh-CN"/>
              </w:rPr>
            </w:pPr>
            <w:r>
              <w:rPr>
                <w:rFonts w:hint="default" w:ascii="Times New Roman" w:hAnsi="Times New Roman" w:eastAsia="宋体" w:cs="Times New Roman"/>
                <w:i w:val="0"/>
                <w:color w:val="000000"/>
                <w:kern w:val="0"/>
                <w:sz w:val="22"/>
                <w:szCs w:val="22"/>
                <w:u w:val="none"/>
                <w:lang w:val="en-US" w:eastAsia="zh-CN" w:bidi="ar"/>
              </w:rPr>
              <w:t>13</w:t>
            </w:r>
            <w:r>
              <w:rPr>
                <w:rFonts w:hint="eastAsia" w:eastAsia="宋体" w:cs="Times New Roman"/>
                <w:i w:val="0"/>
                <w:color w:val="000000"/>
                <w:kern w:val="0"/>
                <w:sz w:val="22"/>
                <w:szCs w:val="22"/>
                <w:u w:val="none"/>
                <w:lang w:val="en-US" w:eastAsia="zh-CN" w:bidi="ar"/>
              </w:rPr>
              <w:t>0.67</w:t>
            </w:r>
          </w:p>
        </w:tc>
        <w:tc>
          <w:tcPr>
            <w:tcW w:w="14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lang w:val="en-US" w:eastAsia="zh-CN"/>
              </w:rPr>
            </w:pPr>
            <w:r>
              <w:rPr>
                <w:rFonts w:hint="default" w:ascii="Times New Roman" w:hAnsi="Times New Roman" w:eastAsia="宋体" w:cs="Times New Roman"/>
                <w:i w:val="0"/>
                <w:color w:val="000000"/>
                <w:kern w:val="0"/>
                <w:sz w:val="22"/>
                <w:szCs w:val="22"/>
                <w:u w:val="none"/>
                <w:lang w:val="en-US" w:eastAsia="zh-CN" w:bidi="ar"/>
              </w:rPr>
              <w:t>1</w:t>
            </w:r>
            <w:r>
              <w:rPr>
                <w:rFonts w:hint="eastAsia" w:eastAsia="宋体" w:cs="Times New Roman"/>
                <w:i w:val="0"/>
                <w:color w:val="000000"/>
                <w:kern w:val="0"/>
                <w:sz w:val="22"/>
                <w:szCs w:val="22"/>
                <w:u w:val="none"/>
                <w:lang w:val="en-US" w:eastAsia="zh-CN" w:bidi="ar"/>
              </w:rPr>
              <w:t>30.39</w:t>
            </w:r>
          </w:p>
        </w:tc>
      </w:tr>
      <w:tr>
        <w:tblPrEx>
          <w:tblLayout w:type="fixed"/>
          <w:tblCellMar>
            <w:top w:w="0" w:type="dxa"/>
            <w:left w:w="108" w:type="dxa"/>
            <w:bottom w:w="0" w:type="dxa"/>
            <w:right w:w="108" w:type="dxa"/>
          </w:tblCellMar>
        </w:tblPrEx>
        <w:trPr>
          <w:trHeight w:val="315" w:hRule="atLeast"/>
        </w:trPr>
        <w:tc>
          <w:tcPr>
            <w:tcW w:w="142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auto"/>
                <w:kern w:val="0"/>
                <w:sz w:val="21"/>
                <w:szCs w:val="21"/>
              </w:rPr>
            </w:pPr>
            <w:r>
              <w:rPr>
                <w:rFonts w:hint="eastAsia" w:eastAsia="宋体" w:cs="Times New Roman"/>
                <w:color w:val="auto"/>
                <w:kern w:val="0"/>
                <w:sz w:val="21"/>
                <w:szCs w:val="21"/>
              </w:rPr>
              <w:t>米贝</w:t>
            </w:r>
            <w:r>
              <w:rPr>
                <w:rFonts w:eastAsia="宋体" w:cs="Times New Roman"/>
                <w:color w:val="auto"/>
                <w:kern w:val="0"/>
                <w:sz w:val="21"/>
                <w:szCs w:val="21"/>
              </w:rPr>
              <w:t>水库</w:t>
            </w:r>
          </w:p>
        </w:tc>
        <w:tc>
          <w:tcPr>
            <w:tcW w:w="11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rPr>
            </w:pPr>
            <w:r>
              <w:rPr>
                <w:rFonts w:hint="default" w:ascii="Times New Roman" w:hAnsi="Times New Roman" w:eastAsia="宋体" w:cs="Times New Roman"/>
                <w:i w:val="0"/>
                <w:color w:val="000000"/>
                <w:kern w:val="0"/>
                <w:sz w:val="22"/>
                <w:szCs w:val="22"/>
                <w:u w:val="none"/>
                <w:lang w:val="en-US" w:eastAsia="zh-CN" w:bidi="ar"/>
              </w:rPr>
              <w:t>9.7</w:t>
            </w:r>
            <w:r>
              <w:rPr>
                <w:rFonts w:hint="eastAsia" w:eastAsia="宋体" w:cs="Times New Roman"/>
                <w:i w:val="0"/>
                <w:color w:val="000000"/>
                <w:kern w:val="0"/>
                <w:sz w:val="22"/>
                <w:szCs w:val="22"/>
                <w:u w:val="none"/>
                <w:lang w:val="en-US" w:eastAsia="zh-CN" w:bidi="ar"/>
              </w:rPr>
              <w:t>0</w:t>
            </w:r>
          </w:p>
        </w:tc>
        <w:tc>
          <w:tcPr>
            <w:tcW w:w="13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lang w:val="en-US" w:eastAsia="zh-CN"/>
              </w:rPr>
            </w:pPr>
            <w:r>
              <w:rPr>
                <w:rFonts w:hint="default" w:ascii="Times New Roman" w:hAnsi="Times New Roman" w:eastAsia="宋体" w:cs="Times New Roman"/>
                <w:i w:val="0"/>
                <w:color w:val="000000"/>
                <w:kern w:val="0"/>
                <w:sz w:val="22"/>
                <w:szCs w:val="22"/>
                <w:u w:val="none"/>
                <w:lang w:val="en-US" w:eastAsia="zh-CN" w:bidi="ar"/>
              </w:rPr>
              <w:t>8.46</w:t>
            </w:r>
          </w:p>
        </w:tc>
        <w:tc>
          <w:tcPr>
            <w:tcW w:w="9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yellow"/>
                <w:lang w:val="en-US" w:eastAsia="zh-CN"/>
              </w:rPr>
            </w:pPr>
            <w:r>
              <w:rPr>
                <w:rFonts w:hint="default" w:ascii="Times New Roman" w:hAnsi="Times New Roman" w:eastAsia="宋体" w:cs="Times New Roman"/>
                <w:i w:val="0"/>
                <w:color w:val="000000"/>
                <w:kern w:val="0"/>
                <w:sz w:val="22"/>
                <w:szCs w:val="22"/>
                <w:u w:val="none"/>
                <w:lang w:val="en-US" w:eastAsia="zh-CN" w:bidi="ar"/>
              </w:rPr>
              <w:t>77</w:t>
            </w:r>
          </w:p>
        </w:tc>
        <w:tc>
          <w:tcPr>
            <w:tcW w:w="10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rPr>
            </w:pPr>
            <w:r>
              <w:rPr>
                <w:rFonts w:hint="default" w:ascii="Times New Roman" w:hAnsi="Times New Roman" w:eastAsia="宋体" w:cs="Times New Roman"/>
                <w:i w:val="0"/>
                <w:color w:val="000000"/>
                <w:kern w:val="0"/>
                <w:sz w:val="22"/>
                <w:szCs w:val="22"/>
                <w:u w:val="none"/>
                <w:lang w:val="en-US" w:eastAsia="zh-CN" w:bidi="ar"/>
              </w:rPr>
              <w:t>6</w:t>
            </w:r>
          </w:p>
        </w:tc>
        <w:tc>
          <w:tcPr>
            <w:tcW w:w="13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lang w:eastAsia="zh-CN"/>
              </w:rPr>
            </w:pPr>
            <w:r>
              <w:rPr>
                <w:rFonts w:hint="default" w:ascii="Times New Roman" w:hAnsi="Times New Roman" w:eastAsia="宋体" w:cs="Times New Roman"/>
                <w:i w:val="0"/>
                <w:color w:val="000000"/>
                <w:kern w:val="0"/>
                <w:sz w:val="22"/>
                <w:szCs w:val="22"/>
                <w:u w:val="none"/>
                <w:lang w:val="en-US" w:eastAsia="zh-CN" w:bidi="ar"/>
              </w:rPr>
              <w:t>436.9</w:t>
            </w:r>
            <w:r>
              <w:rPr>
                <w:rFonts w:hint="eastAsia" w:eastAsia="宋体" w:cs="Times New Roman"/>
                <w:i w:val="0"/>
                <w:color w:val="000000"/>
                <w:kern w:val="0"/>
                <w:sz w:val="22"/>
                <w:szCs w:val="22"/>
                <w:u w:val="none"/>
                <w:lang w:val="en-US" w:eastAsia="zh-CN" w:bidi="ar"/>
              </w:rPr>
              <w:t>5</w:t>
            </w:r>
          </w:p>
        </w:tc>
        <w:tc>
          <w:tcPr>
            <w:tcW w:w="14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lang w:val="en-US" w:eastAsia="zh-CN"/>
              </w:rPr>
            </w:pPr>
            <w:r>
              <w:rPr>
                <w:rFonts w:hint="default" w:ascii="Times New Roman" w:hAnsi="Times New Roman" w:eastAsia="宋体" w:cs="Times New Roman"/>
                <w:i w:val="0"/>
                <w:color w:val="000000"/>
                <w:kern w:val="0"/>
                <w:sz w:val="22"/>
                <w:szCs w:val="22"/>
                <w:u w:val="none"/>
                <w:lang w:val="en-US" w:eastAsia="zh-CN" w:bidi="ar"/>
              </w:rPr>
              <w:t>333.3</w:t>
            </w:r>
            <w:r>
              <w:rPr>
                <w:rFonts w:hint="eastAsia" w:eastAsia="宋体" w:cs="Times New Roman"/>
                <w:i w:val="0"/>
                <w:color w:val="000000"/>
                <w:kern w:val="0"/>
                <w:sz w:val="22"/>
                <w:szCs w:val="22"/>
                <w:u w:val="none"/>
                <w:lang w:val="en-US" w:eastAsia="zh-CN" w:bidi="ar"/>
              </w:rPr>
              <w:t>0</w:t>
            </w:r>
          </w:p>
        </w:tc>
      </w:tr>
      <w:tr>
        <w:tblPrEx>
          <w:tblLayout w:type="fixed"/>
          <w:tblCellMar>
            <w:top w:w="0" w:type="dxa"/>
            <w:left w:w="108" w:type="dxa"/>
            <w:bottom w:w="0" w:type="dxa"/>
            <w:right w:w="108" w:type="dxa"/>
          </w:tblCellMar>
        </w:tblPrEx>
        <w:trPr>
          <w:trHeight w:val="90" w:hRule="atLeast"/>
        </w:trPr>
        <w:tc>
          <w:tcPr>
            <w:tcW w:w="142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auto"/>
                <w:kern w:val="0"/>
                <w:sz w:val="21"/>
                <w:szCs w:val="21"/>
              </w:rPr>
            </w:pPr>
            <w:r>
              <w:rPr>
                <w:rFonts w:hint="eastAsia" w:eastAsia="宋体" w:cs="Times New Roman"/>
                <w:color w:val="auto"/>
                <w:kern w:val="0"/>
                <w:sz w:val="21"/>
                <w:szCs w:val="21"/>
              </w:rPr>
              <w:t>狮子岩水闸</w:t>
            </w:r>
          </w:p>
        </w:tc>
        <w:tc>
          <w:tcPr>
            <w:tcW w:w="11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lang w:val="en-US" w:eastAsia="zh-CN"/>
              </w:rPr>
            </w:pPr>
            <w:r>
              <w:rPr>
                <w:rFonts w:hint="default" w:ascii="Times New Roman" w:hAnsi="Times New Roman" w:eastAsia="宋体" w:cs="Times New Roman"/>
                <w:i w:val="0"/>
                <w:color w:val="000000"/>
                <w:kern w:val="0"/>
                <w:sz w:val="22"/>
                <w:szCs w:val="22"/>
                <w:u w:val="none"/>
                <w:lang w:val="en-US" w:eastAsia="zh-CN" w:bidi="ar"/>
              </w:rPr>
              <w:t>4.</w:t>
            </w:r>
            <w:r>
              <w:rPr>
                <w:rFonts w:hint="eastAsia" w:eastAsia="宋体" w:cs="Times New Roman"/>
                <w:i w:val="0"/>
                <w:color w:val="000000"/>
                <w:kern w:val="0"/>
                <w:sz w:val="22"/>
                <w:szCs w:val="22"/>
                <w:u w:val="none"/>
                <w:lang w:val="en-US" w:eastAsia="zh-CN" w:bidi="ar"/>
              </w:rPr>
              <w:t>70</w:t>
            </w:r>
          </w:p>
        </w:tc>
        <w:tc>
          <w:tcPr>
            <w:tcW w:w="13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lang w:eastAsia="zh-CN"/>
              </w:rPr>
            </w:pPr>
            <w:r>
              <w:rPr>
                <w:rFonts w:hint="default" w:ascii="Times New Roman" w:hAnsi="Times New Roman" w:eastAsia="宋体" w:cs="Times New Roman"/>
                <w:i w:val="0"/>
                <w:color w:val="000000"/>
                <w:kern w:val="0"/>
                <w:sz w:val="22"/>
                <w:szCs w:val="22"/>
                <w:u w:val="none"/>
                <w:lang w:val="en-US" w:eastAsia="zh-CN" w:bidi="ar"/>
              </w:rPr>
              <w:t>5.</w:t>
            </w:r>
            <w:r>
              <w:rPr>
                <w:rFonts w:hint="eastAsia" w:eastAsia="宋体" w:cs="Times New Roman"/>
                <w:i w:val="0"/>
                <w:color w:val="000000"/>
                <w:kern w:val="0"/>
                <w:sz w:val="22"/>
                <w:szCs w:val="22"/>
                <w:u w:val="none"/>
                <w:lang w:val="en-US" w:eastAsia="zh-CN" w:bidi="ar"/>
              </w:rPr>
              <w:t>20</w:t>
            </w:r>
          </w:p>
        </w:tc>
        <w:tc>
          <w:tcPr>
            <w:tcW w:w="9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yellow"/>
                <w:lang w:val="en-US"/>
              </w:rPr>
            </w:pPr>
            <w:r>
              <w:rPr>
                <w:rFonts w:hint="default" w:ascii="Times New Roman" w:hAnsi="Times New Roman" w:eastAsia="宋体" w:cs="Times New Roman"/>
                <w:i w:val="0"/>
                <w:color w:val="000000"/>
                <w:kern w:val="0"/>
                <w:sz w:val="22"/>
                <w:szCs w:val="22"/>
                <w:u w:val="none"/>
                <w:lang w:val="en-US" w:eastAsia="zh-CN" w:bidi="ar"/>
              </w:rPr>
              <w:t>40</w:t>
            </w:r>
          </w:p>
        </w:tc>
        <w:tc>
          <w:tcPr>
            <w:tcW w:w="10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rPr>
            </w:pPr>
            <w:r>
              <w:rPr>
                <w:rFonts w:hint="default" w:ascii="Times New Roman" w:hAnsi="Times New Roman" w:eastAsia="宋体" w:cs="Times New Roman"/>
                <w:i w:val="0"/>
                <w:color w:val="000000"/>
                <w:kern w:val="0"/>
                <w:sz w:val="22"/>
                <w:szCs w:val="22"/>
                <w:u w:val="none"/>
                <w:lang w:val="en-US" w:eastAsia="zh-CN" w:bidi="ar"/>
              </w:rPr>
              <w:t>4</w:t>
            </w:r>
          </w:p>
        </w:tc>
        <w:tc>
          <w:tcPr>
            <w:tcW w:w="13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lang w:val="en-US" w:eastAsia="zh-CN"/>
              </w:rPr>
            </w:pPr>
            <w:r>
              <w:rPr>
                <w:rFonts w:hint="default" w:ascii="Times New Roman" w:hAnsi="Times New Roman" w:eastAsia="宋体" w:cs="Times New Roman"/>
                <w:i w:val="0"/>
                <w:color w:val="000000"/>
                <w:kern w:val="0"/>
                <w:sz w:val="22"/>
                <w:szCs w:val="22"/>
                <w:u w:val="none"/>
                <w:lang w:val="en-US" w:eastAsia="zh-CN" w:bidi="ar"/>
              </w:rPr>
              <w:t>19</w:t>
            </w:r>
            <w:r>
              <w:rPr>
                <w:rFonts w:hint="eastAsia" w:eastAsia="宋体" w:cs="Times New Roman"/>
                <w:i w:val="0"/>
                <w:color w:val="000000"/>
                <w:kern w:val="0"/>
                <w:sz w:val="22"/>
                <w:szCs w:val="22"/>
                <w:u w:val="none"/>
                <w:lang w:val="en-US" w:eastAsia="zh-CN" w:bidi="ar"/>
              </w:rPr>
              <w:t>4.34</w:t>
            </w:r>
          </w:p>
        </w:tc>
        <w:tc>
          <w:tcPr>
            <w:tcW w:w="14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lang w:val="en-US" w:eastAsia="zh-CN"/>
              </w:rPr>
            </w:pPr>
            <w:r>
              <w:rPr>
                <w:rFonts w:hint="eastAsia" w:eastAsia="宋体" w:cs="Times New Roman"/>
                <w:i w:val="0"/>
                <w:color w:val="000000"/>
                <w:kern w:val="0"/>
                <w:sz w:val="22"/>
                <w:szCs w:val="22"/>
                <w:u w:val="none"/>
                <w:lang w:val="en-US" w:eastAsia="zh-CN" w:bidi="ar"/>
              </w:rPr>
              <w:t>93.58</w:t>
            </w:r>
          </w:p>
        </w:tc>
      </w:tr>
      <w:tr>
        <w:tblPrEx>
          <w:tblLayout w:type="fixed"/>
          <w:tblCellMar>
            <w:top w:w="0" w:type="dxa"/>
            <w:left w:w="108" w:type="dxa"/>
            <w:bottom w:w="0" w:type="dxa"/>
            <w:right w:w="108" w:type="dxa"/>
          </w:tblCellMar>
        </w:tblPrEx>
        <w:trPr>
          <w:trHeight w:val="90" w:hRule="atLeast"/>
        </w:trPr>
        <w:tc>
          <w:tcPr>
            <w:tcW w:w="142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auto"/>
                <w:kern w:val="0"/>
                <w:sz w:val="21"/>
                <w:szCs w:val="21"/>
              </w:rPr>
            </w:pPr>
            <w:r>
              <w:rPr>
                <w:rFonts w:eastAsia="宋体" w:cs="Times New Roman"/>
                <w:color w:val="auto"/>
                <w:kern w:val="0"/>
                <w:sz w:val="21"/>
                <w:szCs w:val="21"/>
              </w:rPr>
              <w:t>总计</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yellow"/>
                <w:lang w:val="en-US"/>
              </w:rPr>
            </w:pPr>
            <w:r>
              <w:rPr>
                <w:rFonts w:hint="default" w:ascii="Times New Roman" w:hAnsi="Times New Roman" w:eastAsia="宋体" w:cs="Times New Roman"/>
                <w:i w:val="0"/>
                <w:color w:val="000000"/>
                <w:kern w:val="0"/>
                <w:sz w:val="22"/>
                <w:szCs w:val="22"/>
                <w:u w:val="none"/>
                <w:lang w:val="en-US" w:eastAsia="zh-CN" w:bidi="ar"/>
              </w:rPr>
              <w:t>6</w:t>
            </w:r>
            <w:r>
              <w:rPr>
                <w:rFonts w:hint="eastAsia" w:eastAsia="宋体" w:cs="Times New Roman"/>
                <w:i w:val="0"/>
                <w:color w:val="000000"/>
                <w:kern w:val="0"/>
                <w:sz w:val="22"/>
                <w:szCs w:val="22"/>
                <w:u w:val="none"/>
                <w:lang w:val="en-US" w:eastAsia="zh-CN" w:bidi="ar"/>
              </w:rPr>
              <w:t>6.20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yellow"/>
                <w:lang w:val="en-US" w:eastAsia="zh-CN"/>
              </w:rPr>
            </w:pPr>
            <w:r>
              <w:rPr>
                <w:rFonts w:hint="default" w:ascii="Times New Roman" w:hAnsi="Times New Roman" w:eastAsia="宋体" w:cs="Times New Roman"/>
                <w:i w:val="0"/>
                <w:color w:val="000000"/>
                <w:kern w:val="0"/>
                <w:sz w:val="22"/>
                <w:szCs w:val="22"/>
                <w:u w:val="none"/>
                <w:lang w:val="en-US" w:eastAsia="zh-CN" w:bidi="ar"/>
              </w:rPr>
              <w:t>6</w:t>
            </w:r>
            <w:r>
              <w:rPr>
                <w:rFonts w:hint="eastAsia" w:eastAsia="宋体" w:cs="Times New Roman"/>
                <w:i w:val="0"/>
                <w:color w:val="000000"/>
                <w:kern w:val="0"/>
                <w:sz w:val="22"/>
                <w:szCs w:val="22"/>
                <w:u w:val="none"/>
                <w:lang w:val="en-US" w:eastAsia="zh-CN" w:bidi="ar"/>
              </w:rPr>
              <w:t>2.01</w:t>
            </w:r>
          </w:p>
        </w:tc>
        <w:tc>
          <w:tcPr>
            <w:tcW w:w="9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yellow"/>
                <w:lang w:val="en-US" w:eastAsia="zh-CN"/>
              </w:rPr>
            </w:pPr>
            <w:r>
              <w:rPr>
                <w:rFonts w:hint="default" w:ascii="Times New Roman" w:hAnsi="Times New Roman" w:eastAsia="宋体" w:cs="Times New Roman"/>
                <w:i w:val="0"/>
                <w:color w:val="000000"/>
                <w:kern w:val="0"/>
                <w:sz w:val="22"/>
                <w:szCs w:val="22"/>
                <w:u w:val="none"/>
                <w:lang w:val="en-US" w:eastAsia="zh-CN" w:bidi="ar"/>
              </w:rPr>
              <w:t>698</w:t>
            </w:r>
          </w:p>
        </w:tc>
        <w:tc>
          <w:tcPr>
            <w:tcW w:w="109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none"/>
              </w:rPr>
            </w:pPr>
            <w:r>
              <w:rPr>
                <w:rFonts w:hint="default" w:ascii="Times New Roman" w:hAnsi="Times New Roman" w:eastAsia="宋体" w:cs="Times New Roman"/>
                <w:i w:val="0"/>
                <w:color w:val="000000"/>
                <w:kern w:val="0"/>
                <w:sz w:val="22"/>
                <w:szCs w:val="22"/>
                <w:u w:val="none"/>
                <w:lang w:val="en-US" w:eastAsia="zh-CN" w:bidi="ar"/>
              </w:rPr>
              <w:t>37</w:t>
            </w:r>
          </w:p>
        </w:tc>
        <w:tc>
          <w:tcPr>
            <w:tcW w:w="13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yellow"/>
                <w:lang w:val="en-US" w:eastAsia="zh-CN"/>
              </w:rPr>
            </w:pPr>
            <w:r>
              <w:rPr>
                <w:rFonts w:hint="default" w:ascii="Times New Roman" w:hAnsi="Times New Roman" w:eastAsia="宋体" w:cs="Times New Roman"/>
                <w:i w:val="0"/>
                <w:color w:val="000000"/>
                <w:kern w:val="0"/>
                <w:sz w:val="22"/>
                <w:szCs w:val="22"/>
                <w:u w:val="none"/>
                <w:lang w:val="en-US" w:eastAsia="zh-CN" w:bidi="ar"/>
              </w:rPr>
              <w:t>562</w:t>
            </w:r>
            <w:r>
              <w:rPr>
                <w:rFonts w:hint="eastAsia" w:eastAsia="宋体" w:cs="Times New Roman"/>
                <w:i w:val="0"/>
                <w:color w:val="000000"/>
                <w:kern w:val="0"/>
                <w:sz w:val="22"/>
                <w:szCs w:val="22"/>
                <w:u w:val="none"/>
                <w:lang w:val="en-US" w:eastAsia="zh-CN" w:bidi="ar"/>
              </w:rPr>
              <w:t>2.69</w:t>
            </w:r>
          </w:p>
        </w:tc>
        <w:tc>
          <w:tcPr>
            <w:tcW w:w="140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FF0000"/>
                <w:kern w:val="0"/>
                <w:sz w:val="22"/>
                <w:szCs w:val="22"/>
                <w:highlight w:val="yellow"/>
                <w:lang w:val="en-US" w:eastAsia="zh-CN"/>
              </w:rPr>
            </w:pPr>
            <w:r>
              <w:rPr>
                <w:rFonts w:hint="default" w:ascii="Times New Roman" w:hAnsi="Times New Roman" w:eastAsia="宋体" w:cs="Times New Roman"/>
                <w:i w:val="0"/>
                <w:color w:val="000000"/>
                <w:kern w:val="0"/>
                <w:sz w:val="22"/>
                <w:szCs w:val="22"/>
                <w:u w:val="none"/>
                <w:lang w:val="en-US" w:eastAsia="zh-CN" w:bidi="ar"/>
              </w:rPr>
              <w:t>23</w:t>
            </w:r>
            <w:r>
              <w:rPr>
                <w:rFonts w:hint="eastAsia" w:eastAsia="宋体" w:cs="Times New Roman"/>
                <w:i w:val="0"/>
                <w:color w:val="000000"/>
                <w:kern w:val="0"/>
                <w:sz w:val="22"/>
                <w:szCs w:val="22"/>
                <w:u w:val="none"/>
                <w:lang w:val="en-US" w:eastAsia="zh-CN" w:bidi="ar"/>
              </w:rPr>
              <w:t>37.08</w:t>
            </w:r>
          </w:p>
        </w:tc>
      </w:tr>
    </w:tbl>
    <w:p>
      <w:pPr>
        <w:ind w:firstLine="640"/>
        <w:rPr>
          <w:rFonts w:hint="eastAsia"/>
          <w:color w:val="000000" w:themeColor="text1"/>
          <w:lang w:val="en-US" w:eastAsia="zh-CN"/>
          <w14:textFill>
            <w14:solidFill>
              <w14:schemeClr w14:val="tx1"/>
            </w14:solidFill>
          </w14:textFill>
        </w:rPr>
      </w:pPr>
    </w:p>
    <w:sectPr>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17362474"/>
                          </w:sdtPr>
                          <w:sdtContent>
                            <w:p>
                              <w:pPr>
                                <w:pStyle w:val="7"/>
                                <w:ind w:firstLine="360"/>
                                <w:jc w:val="center"/>
                              </w:pPr>
                              <w:r>
                                <w:fldChar w:fldCharType="begin"/>
                              </w:r>
                              <w:r>
                                <w:instrText xml:space="preserve">PAGE   \* MERGEFORMAT</w:instrText>
                              </w:r>
                              <w:r>
                                <w:fldChar w:fldCharType="separate"/>
                              </w:r>
                              <w:r>
                                <w:rPr>
                                  <w:lang w:val="zh-CN"/>
                                </w:rPr>
                                <w:t>18</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id w:val="-717362474"/>
                    </w:sdtPr>
                    <w:sdtContent>
                      <w:p>
                        <w:pPr>
                          <w:pStyle w:val="7"/>
                          <w:ind w:firstLine="360"/>
                          <w:jc w:val="center"/>
                        </w:pPr>
                        <w:r>
                          <w:fldChar w:fldCharType="begin"/>
                        </w:r>
                        <w:r>
                          <w:instrText xml:space="preserve">PAGE   \* MERGEFORMAT</w:instrText>
                        </w:r>
                        <w:r>
                          <w:fldChar w:fldCharType="separate"/>
                        </w:r>
                        <w:r>
                          <w:rPr>
                            <w:lang w:val="zh-CN"/>
                          </w:rPr>
                          <w:t>18</w:t>
                        </w:r>
                        <w:r>
                          <w:rPr>
                            <w:lang w:val="zh-CN"/>
                          </w:rP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5C5C67"/>
    <w:multiLevelType w:val="singleLevel"/>
    <w:tmpl w:val="C35C5C67"/>
    <w:lvl w:ilvl="0" w:tentative="0">
      <w:start w:val="2"/>
      <w:numFmt w:val="decimal"/>
      <w:suff w:val="nothing"/>
      <w:lvlText w:val="（%1）"/>
      <w:lvlJc w:val="left"/>
    </w:lvl>
  </w:abstractNum>
  <w:abstractNum w:abstractNumId="1">
    <w:nsid w:val="5F211EC5"/>
    <w:multiLevelType w:val="singleLevel"/>
    <w:tmpl w:val="5F211EC5"/>
    <w:lvl w:ilvl="0" w:tentative="0">
      <w:start w:val="1"/>
      <w:numFmt w:val="decimal"/>
      <w:suff w:val="nothing"/>
      <w:lvlText w:val="（%1）"/>
      <w:lvlJc w:val="left"/>
    </w:lvl>
  </w:abstractNum>
  <w:abstractNum w:abstractNumId="2">
    <w:nsid w:val="783FB212"/>
    <w:multiLevelType w:val="singleLevel"/>
    <w:tmpl w:val="783FB212"/>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E6F18"/>
    <w:rsid w:val="031279D9"/>
    <w:rsid w:val="05112077"/>
    <w:rsid w:val="0A1570FC"/>
    <w:rsid w:val="0D2347A4"/>
    <w:rsid w:val="0E046534"/>
    <w:rsid w:val="0E4E37B5"/>
    <w:rsid w:val="0F8E0837"/>
    <w:rsid w:val="153A35E0"/>
    <w:rsid w:val="16E76F2B"/>
    <w:rsid w:val="21C3477C"/>
    <w:rsid w:val="231D5A06"/>
    <w:rsid w:val="235D52B0"/>
    <w:rsid w:val="256661FB"/>
    <w:rsid w:val="25B5257B"/>
    <w:rsid w:val="2C5D7CB5"/>
    <w:rsid w:val="2DCF6098"/>
    <w:rsid w:val="346E6F18"/>
    <w:rsid w:val="3F366948"/>
    <w:rsid w:val="425F02D9"/>
    <w:rsid w:val="4444142F"/>
    <w:rsid w:val="4597102D"/>
    <w:rsid w:val="4FD24853"/>
    <w:rsid w:val="50527958"/>
    <w:rsid w:val="572470D0"/>
    <w:rsid w:val="5CA37F97"/>
    <w:rsid w:val="5DB90784"/>
    <w:rsid w:val="5E161FA2"/>
    <w:rsid w:val="5E8B2232"/>
    <w:rsid w:val="61BE625C"/>
    <w:rsid w:val="6BCE4EA8"/>
    <w:rsid w:val="6C173C81"/>
    <w:rsid w:val="6FF44B04"/>
    <w:rsid w:val="71DE2D40"/>
    <w:rsid w:val="71E55BAF"/>
    <w:rsid w:val="7230304C"/>
    <w:rsid w:val="732D1897"/>
    <w:rsid w:val="75515EEB"/>
    <w:rsid w:val="759077A8"/>
    <w:rsid w:val="7895269B"/>
    <w:rsid w:val="7FF34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4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9"/>
    <w:pPr>
      <w:keepNext/>
      <w:keepLines/>
      <w:spacing w:line="680" w:lineRule="exact"/>
      <w:ind w:firstLine="0" w:firstLineChars="0"/>
      <w:outlineLvl w:val="0"/>
    </w:pPr>
    <w:rPr>
      <w:rFonts w:eastAsia="黑体"/>
      <w:b/>
      <w:bCs/>
      <w:kern w:val="44"/>
      <w:sz w:val="36"/>
      <w:szCs w:val="44"/>
    </w:rPr>
  </w:style>
  <w:style w:type="paragraph" w:styleId="3">
    <w:name w:val="heading 2"/>
    <w:basedOn w:val="1"/>
    <w:next w:val="1"/>
    <w:unhideWhenUsed/>
    <w:qFormat/>
    <w:uiPriority w:val="0"/>
    <w:pPr>
      <w:keepNext/>
      <w:keepLines/>
      <w:spacing w:before="260" w:beforeLines="0" w:beforeAutospacing="0" w:after="260" w:afterLines="0" w:afterAutospacing="0" w:line="240" w:lineRule="auto"/>
      <w:outlineLvl w:val="1"/>
    </w:pPr>
    <w:rPr>
      <w:rFonts w:ascii="Arial" w:hAnsi="Arial" w:eastAsia="楷体_GB2312"/>
      <w:b/>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6">
    <w:name w:val="toc 3"/>
    <w:basedOn w:val="1"/>
    <w:next w:val="1"/>
    <w:qFormat/>
    <w:uiPriority w:val="0"/>
    <w:pPr>
      <w:ind w:left="840" w:leftChars="4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表头"/>
    <w:basedOn w:val="1"/>
    <w:qFormat/>
    <w:uiPriority w:val="0"/>
    <w:pPr>
      <w:widowControl/>
      <w:spacing w:before="100" w:beforeAutospacing="1" w:after="100" w:afterAutospacing="1" w:line="240" w:lineRule="exact"/>
      <w:jc w:val="center"/>
    </w:pPr>
    <w:rPr>
      <w:rFonts w:eastAsia="黑体" w:cs="宋体"/>
      <w:b/>
      <w:kern w:val="0"/>
      <w:sz w:val="21"/>
      <w:szCs w:val="24"/>
    </w:rPr>
  </w:style>
  <w:style w:type="paragraph" w:styleId="15">
    <w:name w:val="No Spacing"/>
    <w:qFormat/>
    <w:uiPriority w:val="1"/>
    <w:pPr>
      <w:widowControl w:val="0"/>
      <w:jc w:val="center"/>
    </w:pPr>
    <w:rPr>
      <w:rFonts w:ascii="Times New Roman" w:hAnsi="Times New Roman" w:eastAsia="仿宋_GB2312" w:cstheme="minorBidi"/>
      <w:kern w:val="2"/>
      <w:sz w:val="22"/>
      <w:szCs w:val="22"/>
      <w:lang w:val="en-US" w:eastAsia="zh-CN" w:bidi="ar-SA"/>
    </w:rPr>
  </w:style>
  <w:style w:type="paragraph" w:customStyle="1" w:styleId="16">
    <w:name w:val="列出段落11"/>
    <w:basedOn w:val="1"/>
    <w:qFormat/>
    <w:uiPriority w:val="34"/>
    <w:pPr>
      <w:ind w:firstLine="420"/>
    </w:pPr>
  </w:style>
  <w:style w:type="paragraph" w:customStyle="1" w:styleId="17">
    <w:name w:val="列出段落1"/>
    <w:basedOn w:val="1"/>
    <w:qFormat/>
    <w:uiPriority w:val="34"/>
    <w:pPr>
      <w:ind w:firstLine="420"/>
    </w:p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paragraph" w:customStyle="1" w:styleId="2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2021-06-06T05:38:00Z</dcterms:created>
  <dc:creator>Administrator</dc:creator>
  <cp:lastModifiedBy>good</cp:lastModifiedBy>
  <dcterms:modified xsi:type="dcterms:W3CDTF">2022-04-26T07:34:04Z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